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D670AEA" w14:textId="22F13611" w:rsidR="00AF1D3F" w:rsidRDefault="00E329C3" w:rsidP="00AF1D3F">
      <w:pPr>
        <w:pStyle w:val="Title"/>
      </w:pPr>
      <w:r>
        <w:t>Negative</w:t>
      </w:r>
      <w:r w:rsidR="00D229F0">
        <w:t xml:space="preserve">: </w:t>
      </w:r>
      <w:r>
        <w:t>Concealed</w:t>
      </w:r>
      <w:r w:rsidR="00D229F0">
        <w:t xml:space="preserve"> </w:t>
      </w:r>
      <w:r w:rsidR="009D5EC6">
        <w:t>Guns on Campus</w:t>
      </w:r>
    </w:p>
    <w:p w14:paraId="051A9ED5" w14:textId="5C759057" w:rsidR="00AF1D3F" w:rsidRDefault="00AF1D3F" w:rsidP="00AF1D3F">
      <w:pPr>
        <w:pStyle w:val="Normal11"/>
        <w:jc w:val="center"/>
      </w:pPr>
      <w:r>
        <w:t xml:space="preserve">By </w:t>
      </w:r>
      <w:r w:rsidR="009A2DD0">
        <w:t xml:space="preserve">Katherine Baker </w:t>
      </w:r>
    </w:p>
    <w:p w14:paraId="02FF0AC6" w14:textId="77777777" w:rsidR="00031436" w:rsidRDefault="00031436" w:rsidP="00AF1D3F">
      <w:pPr>
        <w:pStyle w:val="Normal11"/>
        <w:jc w:val="center"/>
      </w:pPr>
    </w:p>
    <w:p w14:paraId="1C540AD2" w14:textId="6FCCD075" w:rsidR="000113B4" w:rsidRPr="003B200A" w:rsidRDefault="00E329C3" w:rsidP="00031436">
      <w:pPr>
        <w:pStyle w:val="Case"/>
        <w:numPr>
          <w:ilvl w:val="0"/>
          <w:numId w:val="0"/>
        </w:numPr>
      </w:pPr>
      <w:r>
        <w:t>In the Status Quo, o</w:t>
      </w:r>
      <w:r w:rsidR="00254038">
        <w:t xml:space="preserve">nly 10 states currently allow </w:t>
      </w:r>
      <w:r>
        <w:t>concealed carry of firearms on</w:t>
      </w:r>
      <w:r w:rsidR="00031436">
        <w:t xml:space="preserve"> state-owned college campuses. </w:t>
      </w:r>
      <w:r>
        <w:t>The Affirmative argues that the other</w:t>
      </w:r>
      <w:r w:rsidR="00254038">
        <w:t xml:space="preserve"> state legislatures need to legalize law abiding citizens to concealed carry on campus in the same manner in which they can currently carry legally off campus.</w:t>
      </w:r>
      <w:r w:rsidR="00031436">
        <w:t xml:space="preserve"> </w:t>
      </w:r>
      <w:r>
        <w:t>Negative will argue that college campuses are already safe, and that "gun free zones" are not a m</w:t>
      </w:r>
      <w:r w:rsidR="00031436">
        <w:t xml:space="preserve">agnet for crime as AFF claims. </w:t>
      </w:r>
      <w:r>
        <w:t>Encouraging more guns on campus won'</w:t>
      </w:r>
      <w:r w:rsidR="002145C3">
        <w:t>t reduce mass shootings, and instead will</w:t>
      </w:r>
      <w:r>
        <w:t xml:space="preserve"> increase the risk of crime and/or suicides.  </w:t>
      </w:r>
    </w:p>
    <w:p w14:paraId="361DA314" w14:textId="77777777" w:rsidR="00834704" w:rsidRDefault="00DE0722">
      <w:pPr>
        <w:pStyle w:val="TOC1"/>
        <w:tabs>
          <w:tab w:val="right" w:leader="dot" w:pos="9350"/>
        </w:tabs>
        <w:rPr>
          <w:rFonts w:asciiTheme="minorHAnsi" w:eastAsiaTheme="minorEastAsia" w:hAnsiTheme="minorHAnsi" w:cstheme="minorBidi"/>
          <w:b w:val="0"/>
          <w:noProof/>
          <w:sz w:val="24"/>
          <w:szCs w:val="24"/>
        </w:rPr>
      </w:pPr>
      <w:r>
        <w:rPr>
          <w:sz w:val="20"/>
        </w:rPr>
        <w:fldChar w:fldCharType="begin"/>
      </w:r>
      <w:r>
        <w:instrText xml:space="preserve"> TOC \t "Contention 1,2,Contention 2,3,Title 2,1" </w:instrText>
      </w:r>
      <w:r>
        <w:rPr>
          <w:sz w:val="20"/>
        </w:rPr>
        <w:fldChar w:fldCharType="separate"/>
      </w:r>
      <w:r w:rsidR="00834704">
        <w:rPr>
          <w:noProof/>
        </w:rPr>
        <w:t>Negative Brief: Guns on Campus</w:t>
      </w:r>
      <w:r w:rsidR="00834704">
        <w:rPr>
          <w:noProof/>
        </w:rPr>
        <w:tab/>
      </w:r>
      <w:r w:rsidR="00834704">
        <w:rPr>
          <w:noProof/>
        </w:rPr>
        <w:fldChar w:fldCharType="begin"/>
      </w:r>
      <w:r w:rsidR="00834704">
        <w:rPr>
          <w:noProof/>
        </w:rPr>
        <w:instrText xml:space="preserve"> PAGEREF _Toc505152498 \h </w:instrText>
      </w:r>
      <w:r w:rsidR="00834704">
        <w:rPr>
          <w:noProof/>
        </w:rPr>
      </w:r>
      <w:r w:rsidR="00834704">
        <w:rPr>
          <w:noProof/>
        </w:rPr>
        <w:fldChar w:fldCharType="separate"/>
      </w:r>
      <w:r w:rsidR="00834704">
        <w:rPr>
          <w:noProof/>
        </w:rPr>
        <w:t>3</w:t>
      </w:r>
      <w:r w:rsidR="00834704">
        <w:rPr>
          <w:noProof/>
        </w:rPr>
        <w:fldChar w:fldCharType="end"/>
      </w:r>
    </w:p>
    <w:p w14:paraId="2A061653" w14:textId="77777777" w:rsidR="00834704" w:rsidRDefault="00834704">
      <w:pPr>
        <w:pStyle w:val="TOC2"/>
        <w:rPr>
          <w:rFonts w:asciiTheme="minorHAnsi" w:eastAsiaTheme="minorEastAsia" w:hAnsiTheme="minorHAnsi" w:cstheme="minorBidi"/>
          <w:noProof/>
          <w:sz w:val="24"/>
          <w:szCs w:val="24"/>
        </w:rPr>
      </w:pPr>
      <w:r>
        <w:rPr>
          <w:noProof/>
        </w:rPr>
        <w:t>SOURCE INDICTMENT</w:t>
      </w:r>
      <w:r>
        <w:rPr>
          <w:noProof/>
        </w:rPr>
        <w:tab/>
      </w:r>
      <w:r>
        <w:rPr>
          <w:noProof/>
        </w:rPr>
        <w:fldChar w:fldCharType="begin"/>
      </w:r>
      <w:r>
        <w:rPr>
          <w:noProof/>
        </w:rPr>
        <w:instrText xml:space="preserve"> PAGEREF _Toc505152499 \h </w:instrText>
      </w:r>
      <w:r>
        <w:rPr>
          <w:noProof/>
        </w:rPr>
      </w:r>
      <w:r>
        <w:rPr>
          <w:noProof/>
        </w:rPr>
        <w:fldChar w:fldCharType="separate"/>
      </w:r>
      <w:r>
        <w:rPr>
          <w:noProof/>
        </w:rPr>
        <w:t>3</w:t>
      </w:r>
      <w:r>
        <w:rPr>
          <w:noProof/>
        </w:rPr>
        <w:fldChar w:fldCharType="end"/>
      </w:r>
    </w:p>
    <w:p w14:paraId="469342BF" w14:textId="77777777" w:rsidR="00834704" w:rsidRDefault="00834704">
      <w:pPr>
        <w:pStyle w:val="TOC3"/>
        <w:rPr>
          <w:rFonts w:asciiTheme="minorHAnsi" w:eastAsiaTheme="minorEastAsia" w:hAnsiTheme="minorHAnsi" w:cstheme="minorBidi"/>
          <w:noProof/>
          <w:sz w:val="24"/>
          <w:szCs w:val="24"/>
        </w:rPr>
      </w:pPr>
      <w:r>
        <w:rPr>
          <w:noProof/>
        </w:rPr>
        <w:t>Professor John Lott – conclusions not supported by independent researchers with the same data</w:t>
      </w:r>
      <w:r>
        <w:rPr>
          <w:noProof/>
        </w:rPr>
        <w:tab/>
      </w:r>
      <w:r>
        <w:rPr>
          <w:noProof/>
        </w:rPr>
        <w:fldChar w:fldCharType="begin"/>
      </w:r>
      <w:r>
        <w:rPr>
          <w:noProof/>
        </w:rPr>
        <w:instrText xml:space="preserve"> PAGEREF _Toc505152500 \h </w:instrText>
      </w:r>
      <w:r>
        <w:rPr>
          <w:noProof/>
        </w:rPr>
      </w:r>
      <w:r>
        <w:rPr>
          <w:noProof/>
        </w:rPr>
        <w:fldChar w:fldCharType="separate"/>
      </w:r>
      <w:r>
        <w:rPr>
          <w:noProof/>
        </w:rPr>
        <w:t>3</w:t>
      </w:r>
      <w:r>
        <w:rPr>
          <w:noProof/>
        </w:rPr>
        <w:fldChar w:fldCharType="end"/>
      </w:r>
    </w:p>
    <w:p w14:paraId="1A747600" w14:textId="77777777" w:rsidR="00834704" w:rsidRDefault="00834704">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_Toc505152501 \h </w:instrText>
      </w:r>
      <w:r>
        <w:rPr>
          <w:noProof/>
        </w:rPr>
      </w:r>
      <w:r>
        <w:rPr>
          <w:noProof/>
        </w:rPr>
        <w:fldChar w:fldCharType="separate"/>
      </w:r>
      <w:r>
        <w:rPr>
          <w:noProof/>
        </w:rPr>
        <w:t>3</w:t>
      </w:r>
      <w:r>
        <w:rPr>
          <w:noProof/>
        </w:rPr>
        <w:fldChar w:fldCharType="end"/>
      </w:r>
    </w:p>
    <w:p w14:paraId="00DFA4F6" w14:textId="77777777" w:rsidR="00834704" w:rsidRDefault="00834704">
      <w:pPr>
        <w:pStyle w:val="TOC3"/>
        <w:rPr>
          <w:rFonts w:asciiTheme="minorHAnsi" w:eastAsiaTheme="minorEastAsia" w:hAnsiTheme="minorHAnsi" w:cstheme="minorBidi"/>
          <w:noProof/>
          <w:sz w:val="24"/>
          <w:szCs w:val="24"/>
        </w:rPr>
      </w:pPr>
      <w:r>
        <w:rPr>
          <w:noProof/>
        </w:rPr>
        <w:t>Half of the states allow colleges to decide</w:t>
      </w:r>
      <w:r>
        <w:rPr>
          <w:noProof/>
        </w:rPr>
        <w:tab/>
      </w:r>
      <w:r>
        <w:rPr>
          <w:noProof/>
        </w:rPr>
        <w:fldChar w:fldCharType="begin"/>
      </w:r>
      <w:r>
        <w:rPr>
          <w:noProof/>
        </w:rPr>
        <w:instrText xml:space="preserve"> PAGEREF _Toc505152502 \h </w:instrText>
      </w:r>
      <w:r>
        <w:rPr>
          <w:noProof/>
        </w:rPr>
      </w:r>
      <w:r>
        <w:rPr>
          <w:noProof/>
        </w:rPr>
        <w:fldChar w:fldCharType="separate"/>
      </w:r>
      <w:r>
        <w:rPr>
          <w:noProof/>
        </w:rPr>
        <w:t>3</w:t>
      </w:r>
      <w:r>
        <w:rPr>
          <w:noProof/>
        </w:rPr>
        <w:fldChar w:fldCharType="end"/>
      </w:r>
    </w:p>
    <w:p w14:paraId="1EC8255F" w14:textId="77777777" w:rsidR="00834704" w:rsidRDefault="00834704">
      <w:pPr>
        <w:pStyle w:val="TOC3"/>
        <w:rPr>
          <w:rFonts w:asciiTheme="minorHAnsi" w:eastAsiaTheme="minorEastAsia" w:hAnsiTheme="minorHAnsi" w:cstheme="minorBidi"/>
          <w:noProof/>
          <w:sz w:val="24"/>
          <w:szCs w:val="24"/>
        </w:rPr>
      </w:pPr>
      <w:r>
        <w:rPr>
          <w:noProof/>
        </w:rPr>
        <w:t>States already changing their laws</w:t>
      </w:r>
      <w:r>
        <w:rPr>
          <w:noProof/>
        </w:rPr>
        <w:tab/>
      </w:r>
      <w:r>
        <w:rPr>
          <w:noProof/>
        </w:rPr>
        <w:fldChar w:fldCharType="begin"/>
      </w:r>
      <w:r>
        <w:rPr>
          <w:noProof/>
        </w:rPr>
        <w:instrText xml:space="preserve"> PAGEREF _Toc505152503 \h </w:instrText>
      </w:r>
      <w:r>
        <w:rPr>
          <w:noProof/>
        </w:rPr>
      </w:r>
      <w:r>
        <w:rPr>
          <w:noProof/>
        </w:rPr>
        <w:fldChar w:fldCharType="separate"/>
      </w:r>
      <w:r>
        <w:rPr>
          <w:noProof/>
        </w:rPr>
        <w:t>3</w:t>
      </w:r>
      <w:r>
        <w:rPr>
          <w:noProof/>
        </w:rPr>
        <w:fldChar w:fldCharType="end"/>
      </w:r>
    </w:p>
    <w:p w14:paraId="7F4E633C" w14:textId="77777777" w:rsidR="00834704" w:rsidRDefault="00834704">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_Toc505152504 \h </w:instrText>
      </w:r>
      <w:r>
        <w:rPr>
          <w:noProof/>
        </w:rPr>
      </w:r>
      <w:r>
        <w:rPr>
          <w:noProof/>
        </w:rPr>
        <w:fldChar w:fldCharType="separate"/>
      </w:r>
      <w:r>
        <w:rPr>
          <w:noProof/>
        </w:rPr>
        <w:t>4</w:t>
      </w:r>
      <w:r>
        <w:rPr>
          <w:noProof/>
        </w:rPr>
        <w:fldChar w:fldCharType="end"/>
      </w:r>
    </w:p>
    <w:p w14:paraId="7D41E333" w14:textId="77777777" w:rsidR="00834704" w:rsidRDefault="00834704">
      <w:pPr>
        <w:pStyle w:val="TOC3"/>
        <w:rPr>
          <w:rFonts w:asciiTheme="minorHAnsi" w:eastAsiaTheme="minorEastAsia" w:hAnsiTheme="minorHAnsi" w:cstheme="minorBidi"/>
          <w:noProof/>
          <w:sz w:val="24"/>
          <w:szCs w:val="24"/>
        </w:rPr>
      </w:pPr>
      <w:r>
        <w:rPr>
          <w:noProof/>
        </w:rPr>
        <w:t>“Gun-free zones are targets for shooters” RESPONSE: Evidence lacking</w:t>
      </w:r>
      <w:r>
        <w:rPr>
          <w:noProof/>
        </w:rPr>
        <w:tab/>
      </w:r>
      <w:r>
        <w:rPr>
          <w:noProof/>
        </w:rPr>
        <w:fldChar w:fldCharType="begin"/>
      </w:r>
      <w:r>
        <w:rPr>
          <w:noProof/>
        </w:rPr>
        <w:instrText xml:space="preserve"> PAGEREF _Toc505152505 \h </w:instrText>
      </w:r>
      <w:r>
        <w:rPr>
          <w:noProof/>
        </w:rPr>
      </w:r>
      <w:r>
        <w:rPr>
          <w:noProof/>
        </w:rPr>
        <w:fldChar w:fldCharType="separate"/>
      </w:r>
      <w:r>
        <w:rPr>
          <w:noProof/>
        </w:rPr>
        <w:t>4</w:t>
      </w:r>
      <w:r>
        <w:rPr>
          <w:noProof/>
        </w:rPr>
        <w:fldChar w:fldCharType="end"/>
      </w:r>
    </w:p>
    <w:p w14:paraId="63B6216C" w14:textId="77777777" w:rsidR="00834704" w:rsidRDefault="00834704">
      <w:pPr>
        <w:pStyle w:val="TOC3"/>
        <w:rPr>
          <w:rFonts w:asciiTheme="minorHAnsi" w:eastAsiaTheme="minorEastAsia" w:hAnsiTheme="minorHAnsi" w:cstheme="minorBidi"/>
          <w:noProof/>
          <w:sz w:val="24"/>
          <w:szCs w:val="24"/>
        </w:rPr>
      </w:pPr>
      <w:r>
        <w:rPr>
          <w:noProof/>
        </w:rPr>
        <w:t>Schools safer than most places – crime much more likely OFF campus</w:t>
      </w:r>
      <w:r>
        <w:rPr>
          <w:noProof/>
        </w:rPr>
        <w:tab/>
      </w:r>
      <w:r>
        <w:rPr>
          <w:noProof/>
        </w:rPr>
        <w:fldChar w:fldCharType="begin"/>
      </w:r>
      <w:r>
        <w:rPr>
          <w:noProof/>
        </w:rPr>
        <w:instrText xml:space="preserve"> PAGEREF _Toc505152506 \h </w:instrText>
      </w:r>
      <w:r>
        <w:rPr>
          <w:noProof/>
        </w:rPr>
      </w:r>
      <w:r>
        <w:rPr>
          <w:noProof/>
        </w:rPr>
        <w:fldChar w:fldCharType="separate"/>
      </w:r>
      <w:r>
        <w:rPr>
          <w:noProof/>
        </w:rPr>
        <w:t>4</w:t>
      </w:r>
      <w:r>
        <w:rPr>
          <w:noProof/>
        </w:rPr>
        <w:fldChar w:fldCharType="end"/>
      </w:r>
    </w:p>
    <w:p w14:paraId="5D2D1CDA" w14:textId="77777777" w:rsidR="00834704" w:rsidRDefault="00834704">
      <w:pPr>
        <w:pStyle w:val="TOC3"/>
        <w:rPr>
          <w:rFonts w:asciiTheme="minorHAnsi" w:eastAsiaTheme="minorEastAsia" w:hAnsiTheme="minorHAnsi" w:cstheme="minorBidi"/>
          <w:noProof/>
          <w:sz w:val="24"/>
          <w:szCs w:val="24"/>
        </w:rPr>
      </w:pPr>
      <w:r>
        <w:rPr>
          <w:noProof/>
        </w:rPr>
        <w:t>Campus concealed guns not justified:  Most mass shootings DO NOT occur in gun-free zones</w:t>
      </w:r>
      <w:r>
        <w:rPr>
          <w:noProof/>
        </w:rPr>
        <w:tab/>
      </w:r>
      <w:r>
        <w:rPr>
          <w:noProof/>
        </w:rPr>
        <w:fldChar w:fldCharType="begin"/>
      </w:r>
      <w:r>
        <w:rPr>
          <w:noProof/>
        </w:rPr>
        <w:instrText xml:space="preserve"> PAGEREF _Toc505152507 \h </w:instrText>
      </w:r>
      <w:r>
        <w:rPr>
          <w:noProof/>
        </w:rPr>
      </w:r>
      <w:r>
        <w:rPr>
          <w:noProof/>
        </w:rPr>
        <w:fldChar w:fldCharType="separate"/>
      </w:r>
      <w:r>
        <w:rPr>
          <w:noProof/>
        </w:rPr>
        <w:t>4</w:t>
      </w:r>
      <w:r>
        <w:rPr>
          <w:noProof/>
        </w:rPr>
        <w:fldChar w:fldCharType="end"/>
      </w:r>
    </w:p>
    <w:p w14:paraId="26B8B143" w14:textId="77777777" w:rsidR="00834704" w:rsidRDefault="00834704">
      <w:pPr>
        <w:pStyle w:val="TOC3"/>
        <w:rPr>
          <w:rFonts w:asciiTheme="minorHAnsi" w:eastAsiaTheme="minorEastAsia" w:hAnsiTheme="minorHAnsi" w:cstheme="minorBidi"/>
          <w:noProof/>
          <w:sz w:val="24"/>
          <w:szCs w:val="24"/>
        </w:rPr>
      </w:pPr>
      <w:r>
        <w:rPr>
          <w:noProof/>
        </w:rPr>
        <w:t>“2</w:t>
      </w:r>
      <w:r w:rsidRPr="00971530">
        <w:rPr>
          <w:noProof/>
          <w:vertAlign w:val="superscript"/>
        </w:rPr>
        <w:t>nd</w:t>
      </w:r>
      <w:r>
        <w:rPr>
          <w:noProof/>
        </w:rPr>
        <w:t xml:space="preserve"> Amendment right violated” RESPONSE: Justice Scalia disagrees, no 2</w:t>
      </w:r>
      <w:r w:rsidRPr="00971530">
        <w:rPr>
          <w:noProof/>
          <w:vertAlign w:val="superscript"/>
        </w:rPr>
        <w:t>nd</w:t>
      </w:r>
      <w:r>
        <w:rPr>
          <w:noProof/>
        </w:rPr>
        <w:t xml:space="preserve"> Amendment problem with restricting guns on government property</w:t>
      </w:r>
      <w:r>
        <w:rPr>
          <w:noProof/>
        </w:rPr>
        <w:tab/>
      </w:r>
      <w:r>
        <w:rPr>
          <w:noProof/>
        </w:rPr>
        <w:fldChar w:fldCharType="begin"/>
      </w:r>
      <w:r>
        <w:rPr>
          <w:noProof/>
        </w:rPr>
        <w:instrText xml:space="preserve"> PAGEREF _Toc505152508 \h </w:instrText>
      </w:r>
      <w:r>
        <w:rPr>
          <w:noProof/>
        </w:rPr>
      </w:r>
      <w:r>
        <w:rPr>
          <w:noProof/>
        </w:rPr>
        <w:fldChar w:fldCharType="separate"/>
      </w:r>
      <w:r>
        <w:rPr>
          <w:noProof/>
        </w:rPr>
        <w:t>5</w:t>
      </w:r>
      <w:r>
        <w:rPr>
          <w:noProof/>
        </w:rPr>
        <w:fldChar w:fldCharType="end"/>
      </w:r>
    </w:p>
    <w:p w14:paraId="1675178E" w14:textId="77777777" w:rsidR="00834704" w:rsidRDefault="00834704">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_Toc505152509 \h </w:instrText>
      </w:r>
      <w:r>
        <w:rPr>
          <w:noProof/>
        </w:rPr>
      </w:r>
      <w:r>
        <w:rPr>
          <w:noProof/>
        </w:rPr>
        <w:fldChar w:fldCharType="separate"/>
      </w:r>
      <w:r>
        <w:rPr>
          <w:noProof/>
        </w:rPr>
        <w:t>5</w:t>
      </w:r>
      <w:r>
        <w:rPr>
          <w:noProof/>
        </w:rPr>
        <w:fldChar w:fldCharType="end"/>
      </w:r>
    </w:p>
    <w:p w14:paraId="25156F9D" w14:textId="77777777" w:rsidR="00834704" w:rsidRDefault="00834704">
      <w:pPr>
        <w:pStyle w:val="TOC3"/>
        <w:rPr>
          <w:rFonts w:asciiTheme="minorHAnsi" w:eastAsiaTheme="minorEastAsia" w:hAnsiTheme="minorHAnsi" w:cstheme="minorBidi"/>
          <w:noProof/>
          <w:sz w:val="24"/>
          <w:szCs w:val="24"/>
        </w:rPr>
      </w:pPr>
      <w:r>
        <w:rPr>
          <w:noProof/>
        </w:rPr>
        <w:t>“Gun holders could intervene in attack” RESPONSE: Not trained</w:t>
      </w:r>
      <w:r>
        <w:rPr>
          <w:noProof/>
        </w:rPr>
        <w:tab/>
      </w:r>
      <w:r>
        <w:rPr>
          <w:noProof/>
        </w:rPr>
        <w:fldChar w:fldCharType="begin"/>
      </w:r>
      <w:r>
        <w:rPr>
          <w:noProof/>
        </w:rPr>
        <w:instrText xml:space="preserve"> PAGEREF _Toc505152510 \h </w:instrText>
      </w:r>
      <w:r>
        <w:rPr>
          <w:noProof/>
        </w:rPr>
      </w:r>
      <w:r>
        <w:rPr>
          <w:noProof/>
        </w:rPr>
        <w:fldChar w:fldCharType="separate"/>
      </w:r>
      <w:r>
        <w:rPr>
          <w:noProof/>
        </w:rPr>
        <w:t>5</w:t>
      </w:r>
      <w:r>
        <w:rPr>
          <w:noProof/>
        </w:rPr>
        <w:fldChar w:fldCharType="end"/>
      </w:r>
    </w:p>
    <w:p w14:paraId="4267A962" w14:textId="77777777" w:rsidR="00834704" w:rsidRDefault="00834704">
      <w:pPr>
        <w:pStyle w:val="TOC3"/>
        <w:rPr>
          <w:rFonts w:asciiTheme="minorHAnsi" w:eastAsiaTheme="minorEastAsia" w:hAnsiTheme="minorHAnsi" w:cstheme="minorBidi"/>
          <w:noProof/>
          <w:sz w:val="24"/>
          <w:szCs w:val="24"/>
        </w:rPr>
      </w:pPr>
      <w:r>
        <w:rPr>
          <w:noProof/>
        </w:rPr>
        <w:t>Civilian gun success as likely as being shot.</w:t>
      </w:r>
      <w:r>
        <w:rPr>
          <w:noProof/>
        </w:rPr>
        <w:tab/>
      </w:r>
      <w:r>
        <w:rPr>
          <w:noProof/>
        </w:rPr>
        <w:fldChar w:fldCharType="begin"/>
      </w:r>
      <w:r>
        <w:rPr>
          <w:noProof/>
        </w:rPr>
        <w:instrText xml:space="preserve"> PAGEREF _Toc505152511 \h </w:instrText>
      </w:r>
      <w:r>
        <w:rPr>
          <w:noProof/>
        </w:rPr>
      </w:r>
      <w:r>
        <w:rPr>
          <w:noProof/>
        </w:rPr>
        <w:fldChar w:fldCharType="separate"/>
      </w:r>
      <w:r>
        <w:rPr>
          <w:noProof/>
        </w:rPr>
        <w:t>6</w:t>
      </w:r>
      <w:r>
        <w:rPr>
          <w:noProof/>
        </w:rPr>
        <w:fldChar w:fldCharType="end"/>
      </w:r>
    </w:p>
    <w:p w14:paraId="1DD9FC28" w14:textId="77777777" w:rsidR="00834704" w:rsidRDefault="00834704">
      <w:pPr>
        <w:pStyle w:val="TOC3"/>
        <w:rPr>
          <w:rFonts w:asciiTheme="minorHAnsi" w:eastAsiaTheme="minorEastAsia" w:hAnsiTheme="minorHAnsi" w:cstheme="minorBidi"/>
          <w:noProof/>
          <w:sz w:val="24"/>
          <w:szCs w:val="24"/>
        </w:rPr>
      </w:pPr>
      <w:r>
        <w:rPr>
          <w:noProof/>
        </w:rPr>
        <w:t>Odds of guns stopping shooter small</w:t>
      </w:r>
      <w:r>
        <w:rPr>
          <w:noProof/>
        </w:rPr>
        <w:tab/>
      </w:r>
      <w:r>
        <w:rPr>
          <w:noProof/>
        </w:rPr>
        <w:fldChar w:fldCharType="begin"/>
      </w:r>
      <w:r>
        <w:rPr>
          <w:noProof/>
        </w:rPr>
        <w:instrText xml:space="preserve"> PAGEREF _Toc505152512 \h </w:instrText>
      </w:r>
      <w:r>
        <w:rPr>
          <w:noProof/>
        </w:rPr>
      </w:r>
      <w:r>
        <w:rPr>
          <w:noProof/>
        </w:rPr>
        <w:fldChar w:fldCharType="separate"/>
      </w:r>
      <w:r>
        <w:rPr>
          <w:noProof/>
        </w:rPr>
        <w:t>6</w:t>
      </w:r>
      <w:r>
        <w:rPr>
          <w:noProof/>
        </w:rPr>
        <w:fldChar w:fldCharType="end"/>
      </w:r>
    </w:p>
    <w:p w14:paraId="4EAB3F0E" w14:textId="77777777" w:rsidR="00834704" w:rsidRDefault="00834704">
      <w:pPr>
        <w:pStyle w:val="TOC3"/>
        <w:rPr>
          <w:rFonts w:asciiTheme="minorHAnsi" w:eastAsiaTheme="minorEastAsia" w:hAnsiTheme="minorHAnsi" w:cstheme="minorBidi"/>
          <w:noProof/>
          <w:sz w:val="24"/>
          <w:szCs w:val="24"/>
        </w:rPr>
      </w:pPr>
      <w:r>
        <w:rPr>
          <w:noProof/>
        </w:rPr>
        <w:t>“Lott: RTC laws reduced mass shootings and death” RESPONSE: False. Independent researchers found no association</w:t>
      </w:r>
      <w:r>
        <w:rPr>
          <w:noProof/>
        </w:rPr>
        <w:tab/>
      </w:r>
      <w:r>
        <w:rPr>
          <w:noProof/>
        </w:rPr>
        <w:fldChar w:fldCharType="begin"/>
      </w:r>
      <w:r>
        <w:rPr>
          <w:noProof/>
        </w:rPr>
        <w:instrText xml:space="preserve"> PAGEREF _Toc505152513 \h </w:instrText>
      </w:r>
      <w:r>
        <w:rPr>
          <w:noProof/>
        </w:rPr>
      </w:r>
      <w:r>
        <w:rPr>
          <w:noProof/>
        </w:rPr>
        <w:fldChar w:fldCharType="separate"/>
      </w:r>
      <w:r>
        <w:rPr>
          <w:noProof/>
        </w:rPr>
        <w:t>6</w:t>
      </w:r>
      <w:r>
        <w:rPr>
          <w:noProof/>
        </w:rPr>
        <w:fldChar w:fldCharType="end"/>
      </w:r>
    </w:p>
    <w:p w14:paraId="1A9EE297" w14:textId="77777777" w:rsidR="00834704" w:rsidRDefault="00834704">
      <w:pPr>
        <w:pStyle w:val="TOC3"/>
        <w:rPr>
          <w:rFonts w:asciiTheme="minorHAnsi" w:eastAsiaTheme="minorEastAsia" w:hAnsiTheme="minorHAnsi" w:cstheme="minorBidi"/>
          <w:noProof/>
          <w:sz w:val="24"/>
          <w:szCs w:val="24"/>
        </w:rPr>
      </w:pPr>
      <w:r>
        <w:rPr>
          <w:noProof/>
        </w:rPr>
        <w:t>Guns don’t prevent injury to victim</w:t>
      </w:r>
      <w:r>
        <w:rPr>
          <w:noProof/>
        </w:rPr>
        <w:tab/>
      </w:r>
      <w:r>
        <w:rPr>
          <w:noProof/>
        </w:rPr>
        <w:fldChar w:fldCharType="begin"/>
      </w:r>
      <w:r>
        <w:rPr>
          <w:noProof/>
        </w:rPr>
        <w:instrText xml:space="preserve"> PAGEREF _Toc505152514 \h </w:instrText>
      </w:r>
      <w:r>
        <w:rPr>
          <w:noProof/>
        </w:rPr>
      </w:r>
      <w:r>
        <w:rPr>
          <w:noProof/>
        </w:rPr>
        <w:fldChar w:fldCharType="separate"/>
      </w:r>
      <w:r>
        <w:rPr>
          <w:noProof/>
        </w:rPr>
        <w:t>7</w:t>
      </w:r>
      <w:r>
        <w:rPr>
          <w:noProof/>
        </w:rPr>
        <w:fldChar w:fldCharType="end"/>
      </w:r>
    </w:p>
    <w:p w14:paraId="5C6780E9" w14:textId="77777777" w:rsidR="00834704" w:rsidRDefault="00834704">
      <w:pPr>
        <w:pStyle w:val="TOC3"/>
        <w:rPr>
          <w:rFonts w:asciiTheme="minorHAnsi" w:eastAsiaTheme="minorEastAsia" w:hAnsiTheme="minorHAnsi" w:cstheme="minorBidi"/>
          <w:noProof/>
          <w:sz w:val="24"/>
          <w:szCs w:val="24"/>
        </w:rPr>
      </w:pPr>
      <w:r>
        <w:rPr>
          <w:noProof/>
        </w:rPr>
        <w:t>Campus guns are unlikely to reduce mass shootings or casualties – more likely to REDUCE safety</w:t>
      </w:r>
      <w:r>
        <w:rPr>
          <w:noProof/>
        </w:rPr>
        <w:tab/>
      </w:r>
      <w:r>
        <w:rPr>
          <w:noProof/>
        </w:rPr>
        <w:fldChar w:fldCharType="begin"/>
      </w:r>
      <w:r>
        <w:rPr>
          <w:noProof/>
        </w:rPr>
        <w:instrText xml:space="preserve"> PAGEREF _Toc505152515 \h </w:instrText>
      </w:r>
      <w:r>
        <w:rPr>
          <w:noProof/>
        </w:rPr>
      </w:r>
      <w:r>
        <w:rPr>
          <w:noProof/>
        </w:rPr>
        <w:fldChar w:fldCharType="separate"/>
      </w:r>
      <w:r>
        <w:rPr>
          <w:noProof/>
        </w:rPr>
        <w:t>7</w:t>
      </w:r>
      <w:r>
        <w:rPr>
          <w:noProof/>
        </w:rPr>
        <w:fldChar w:fldCharType="end"/>
      </w:r>
    </w:p>
    <w:p w14:paraId="09C9647B" w14:textId="77777777" w:rsidR="00834704" w:rsidRDefault="00834704">
      <w:pPr>
        <w:pStyle w:val="TOC3"/>
        <w:rPr>
          <w:rFonts w:asciiTheme="minorHAnsi" w:eastAsiaTheme="minorEastAsia" w:hAnsiTheme="minorHAnsi" w:cstheme="minorBidi"/>
          <w:noProof/>
          <w:sz w:val="24"/>
          <w:szCs w:val="24"/>
        </w:rPr>
      </w:pPr>
      <w:r>
        <w:rPr>
          <w:noProof/>
        </w:rPr>
        <w:t>No evidence RTC (Right To Carry) laws reduce mass shootings or death.</w:t>
      </w:r>
      <w:r>
        <w:rPr>
          <w:noProof/>
        </w:rPr>
        <w:tab/>
      </w:r>
      <w:r>
        <w:rPr>
          <w:noProof/>
        </w:rPr>
        <w:fldChar w:fldCharType="begin"/>
      </w:r>
      <w:r>
        <w:rPr>
          <w:noProof/>
        </w:rPr>
        <w:instrText xml:space="preserve"> PAGEREF _Toc505152516 \h </w:instrText>
      </w:r>
      <w:r>
        <w:rPr>
          <w:noProof/>
        </w:rPr>
      </w:r>
      <w:r>
        <w:rPr>
          <w:noProof/>
        </w:rPr>
        <w:fldChar w:fldCharType="separate"/>
      </w:r>
      <w:r>
        <w:rPr>
          <w:noProof/>
        </w:rPr>
        <w:t>7</w:t>
      </w:r>
      <w:r>
        <w:rPr>
          <w:noProof/>
        </w:rPr>
        <w:fldChar w:fldCharType="end"/>
      </w:r>
    </w:p>
    <w:p w14:paraId="0E208380" w14:textId="77777777" w:rsidR="00834704" w:rsidRDefault="00834704">
      <w:pPr>
        <w:pStyle w:val="TOC3"/>
        <w:rPr>
          <w:rFonts w:asciiTheme="minorHAnsi" w:eastAsiaTheme="minorEastAsia" w:hAnsiTheme="minorHAnsi" w:cstheme="minorBidi"/>
          <w:noProof/>
          <w:sz w:val="24"/>
          <w:szCs w:val="24"/>
        </w:rPr>
      </w:pPr>
      <w:r>
        <w:rPr>
          <w:noProof/>
        </w:rPr>
        <w:t>“Armed citizens will fight back” RESPONSE: Illogical. Even officers are inaccurate in crisis situations, there’s no way a minimally-trained civilian would be ready.</w:t>
      </w:r>
      <w:r>
        <w:rPr>
          <w:noProof/>
        </w:rPr>
        <w:tab/>
      </w:r>
      <w:r>
        <w:rPr>
          <w:noProof/>
        </w:rPr>
        <w:fldChar w:fldCharType="begin"/>
      </w:r>
      <w:r>
        <w:rPr>
          <w:noProof/>
        </w:rPr>
        <w:instrText xml:space="preserve"> PAGEREF _Toc505152517 \h </w:instrText>
      </w:r>
      <w:r>
        <w:rPr>
          <w:noProof/>
        </w:rPr>
      </w:r>
      <w:r>
        <w:rPr>
          <w:noProof/>
        </w:rPr>
        <w:fldChar w:fldCharType="separate"/>
      </w:r>
      <w:r>
        <w:rPr>
          <w:noProof/>
        </w:rPr>
        <w:t>8</w:t>
      </w:r>
      <w:r>
        <w:rPr>
          <w:noProof/>
        </w:rPr>
        <w:fldChar w:fldCharType="end"/>
      </w:r>
    </w:p>
    <w:p w14:paraId="10617D8D" w14:textId="77777777" w:rsidR="00834704" w:rsidRDefault="00834704">
      <w:pPr>
        <w:pStyle w:val="TOC3"/>
        <w:rPr>
          <w:rFonts w:asciiTheme="minorHAnsi" w:eastAsiaTheme="minorEastAsia" w:hAnsiTheme="minorHAnsi" w:cstheme="minorBidi"/>
          <w:noProof/>
          <w:sz w:val="24"/>
          <w:szCs w:val="24"/>
        </w:rPr>
      </w:pPr>
      <w:r>
        <w:rPr>
          <w:noProof/>
        </w:rPr>
        <w:t>“Armed citizens have stopped shootings” RESPONSE: Extremely rare and the details of the scenarios don't actually support the claims</w:t>
      </w:r>
      <w:r>
        <w:rPr>
          <w:noProof/>
        </w:rPr>
        <w:tab/>
      </w:r>
      <w:r>
        <w:rPr>
          <w:noProof/>
        </w:rPr>
        <w:fldChar w:fldCharType="begin"/>
      </w:r>
      <w:r>
        <w:rPr>
          <w:noProof/>
        </w:rPr>
        <w:instrText xml:space="preserve"> PAGEREF _Toc505152518 \h </w:instrText>
      </w:r>
      <w:r>
        <w:rPr>
          <w:noProof/>
        </w:rPr>
      </w:r>
      <w:r>
        <w:rPr>
          <w:noProof/>
        </w:rPr>
        <w:fldChar w:fldCharType="separate"/>
      </w:r>
      <w:r>
        <w:rPr>
          <w:noProof/>
        </w:rPr>
        <w:t>8</w:t>
      </w:r>
      <w:r>
        <w:rPr>
          <w:noProof/>
        </w:rPr>
        <w:fldChar w:fldCharType="end"/>
      </w:r>
    </w:p>
    <w:p w14:paraId="071A389B" w14:textId="77777777" w:rsidR="00834704" w:rsidRDefault="00834704">
      <w:pPr>
        <w:pStyle w:val="TOC3"/>
        <w:rPr>
          <w:rFonts w:asciiTheme="minorHAnsi" w:eastAsiaTheme="minorEastAsia" w:hAnsiTheme="minorHAnsi" w:cstheme="minorBidi"/>
          <w:noProof/>
          <w:sz w:val="24"/>
          <w:szCs w:val="24"/>
        </w:rPr>
      </w:pPr>
      <w:r>
        <w:rPr>
          <w:noProof/>
        </w:rPr>
        <w:t>FBI data: only 1 armed civilian stopped an ongoing shooting</w:t>
      </w:r>
      <w:r>
        <w:rPr>
          <w:noProof/>
        </w:rPr>
        <w:tab/>
      </w:r>
      <w:r>
        <w:rPr>
          <w:noProof/>
        </w:rPr>
        <w:fldChar w:fldCharType="begin"/>
      </w:r>
      <w:r>
        <w:rPr>
          <w:noProof/>
        </w:rPr>
        <w:instrText xml:space="preserve"> PAGEREF _Toc505152519 \h </w:instrText>
      </w:r>
      <w:r>
        <w:rPr>
          <w:noProof/>
        </w:rPr>
      </w:r>
      <w:r>
        <w:rPr>
          <w:noProof/>
        </w:rPr>
        <w:fldChar w:fldCharType="separate"/>
      </w:r>
      <w:r>
        <w:rPr>
          <w:noProof/>
        </w:rPr>
        <w:t>9</w:t>
      </w:r>
      <w:r>
        <w:rPr>
          <w:noProof/>
        </w:rPr>
        <w:fldChar w:fldCharType="end"/>
      </w:r>
    </w:p>
    <w:p w14:paraId="13FA567F" w14:textId="77777777" w:rsidR="00834704" w:rsidRDefault="00834704">
      <w:pPr>
        <w:pStyle w:val="TOC3"/>
        <w:rPr>
          <w:rFonts w:asciiTheme="minorHAnsi" w:eastAsiaTheme="minorEastAsia" w:hAnsiTheme="minorHAnsi" w:cstheme="minorBidi"/>
          <w:noProof/>
          <w:sz w:val="24"/>
          <w:szCs w:val="24"/>
        </w:rPr>
      </w:pPr>
      <w:r>
        <w:rPr>
          <w:noProof/>
        </w:rPr>
        <w:t>Civilian use of guns against mass shooters is unlikely and concealed carry laws don't help</w:t>
      </w:r>
      <w:r>
        <w:rPr>
          <w:noProof/>
        </w:rPr>
        <w:tab/>
      </w:r>
      <w:r>
        <w:rPr>
          <w:noProof/>
        </w:rPr>
        <w:fldChar w:fldCharType="begin"/>
      </w:r>
      <w:r>
        <w:rPr>
          <w:noProof/>
        </w:rPr>
        <w:instrText xml:space="preserve"> PAGEREF _Toc505152520 \h </w:instrText>
      </w:r>
      <w:r>
        <w:rPr>
          <w:noProof/>
        </w:rPr>
      </w:r>
      <w:r>
        <w:rPr>
          <w:noProof/>
        </w:rPr>
        <w:fldChar w:fldCharType="separate"/>
      </w:r>
      <w:r>
        <w:rPr>
          <w:noProof/>
        </w:rPr>
        <w:t>9</w:t>
      </w:r>
      <w:r>
        <w:rPr>
          <w:noProof/>
        </w:rPr>
        <w:fldChar w:fldCharType="end"/>
      </w:r>
    </w:p>
    <w:p w14:paraId="05D504DB" w14:textId="77777777" w:rsidR="00834704" w:rsidRDefault="00834704">
      <w:pPr>
        <w:pStyle w:val="TOC3"/>
        <w:rPr>
          <w:rFonts w:asciiTheme="minorHAnsi" w:eastAsiaTheme="minorEastAsia" w:hAnsiTheme="minorHAnsi" w:cstheme="minorBidi"/>
          <w:noProof/>
          <w:sz w:val="24"/>
          <w:szCs w:val="24"/>
        </w:rPr>
      </w:pPr>
      <w:r>
        <w:rPr>
          <w:noProof/>
        </w:rPr>
        <w:t>Unarmed civilians over 20x more likely to end active shooting</w:t>
      </w:r>
      <w:r>
        <w:rPr>
          <w:noProof/>
        </w:rPr>
        <w:tab/>
      </w:r>
      <w:r>
        <w:rPr>
          <w:noProof/>
        </w:rPr>
        <w:fldChar w:fldCharType="begin"/>
      </w:r>
      <w:r>
        <w:rPr>
          <w:noProof/>
        </w:rPr>
        <w:instrText xml:space="preserve"> PAGEREF _Toc505152521 \h </w:instrText>
      </w:r>
      <w:r>
        <w:rPr>
          <w:noProof/>
        </w:rPr>
      </w:r>
      <w:r>
        <w:rPr>
          <w:noProof/>
        </w:rPr>
        <w:fldChar w:fldCharType="separate"/>
      </w:r>
      <w:r>
        <w:rPr>
          <w:noProof/>
        </w:rPr>
        <w:t>9</w:t>
      </w:r>
      <w:r>
        <w:rPr>
          <w:noProof/>
        </w:rPr>
        <w:fldChar w:fldCharType="end"/>
      </w:r>
    </w:p>
    <w:p w14:paraId="5827FA4F" w14:textId="77777777" w:rsidR="00834704" w:rsidRDefault="00834704">
      <w:pPr>
        <w:pStyle w:val="TOC3"/>
        <w:rPr>
          <w:rFonts w:asciiTheme="minorHAnsi" w:eastAsiaTheme="minorEastAsia" w:hAnsiTheme="minorHAnsi" w:cstheme="minorBidi"/>
          <w:noProof/>
          <w:sz w:val="24"/>
          <w:szCs w:val="24"/>
        </w:rPr>
      </w:pPr>
      <w:r>
        <w:rPr>
          <w:noProof/>
        </w:rPr>
        <w:t>“Carrying guns makes people safer” RESPONSE: Military disagrees.</w:t>
      </w:r>
      <w:r>
        <w:rPr>
          <w:noProof/>
        </w:rPr>
        <w:tab/>
      </w:r>
      <w:r>
        <w:rPr>
          <w:noProof/>
        </w:rPr>
        <w:fldChar w:fldCharType="begin"/>
      </w:r>
      <w:r>
        <w:rPr>
          <w:noProof/>
        </w:rPr>
        <w:instrText xml:space="preserve"> PAGEREF _Toc505152522 \h </w:instrText>
      </w:r>
      <w:r>
        <w:rPr>
          <w:noProof/>
        </w:rPr>
      </w:r>
      <w:r>
        <w:rPr>
          <w:noProof/>
        </w:rPr>
        <w:fldChar w:fldCharType="separate"/>
      </w:r>
      <w:r>
        <w:rPr>
          <w:noProof/>
        </w:rPr>
        <w:t>10</w:t>
      </w:r>
      <w:r>
        <w:rPr>
          <w:noProof/>
        </w:rPr>
        <w:fldChar w:fldCharType="end"/>
      </w:r>
    </w:p>
    <w:p w14:paraId="10BA7DBF" w14:textId="77777777" w:rsidR="00834704" w:rsidRDefault="00834704">
      <w:pPr>
        <w:pStyle w:val="TOC3"/>
        <w:rPr>
          <w:rFonts w:asciiTheme="minorHAnsi" w:eastAsiaTheme="minorEastAsia" w:hAnsiTheme="minorHAnsi" w:cstheme="minorBidi"/>
          <w:noProof/>
          <w:sz w:val="24"/>
          <w:szCs w:val="24"/>
        </w:rPr>
      </w:pPr>
      <w:r>
        <w:rPr>
          <w:noProof/>
        </w:rPr>
        <w:t>“Deterrence” RESPONSE: Attackers don’t expect to survive</w:t>
      </w:r>
      <w:r>
        <w:rPr>
          <w:noProof/>
        </w:rPr>
        <w:tab/>
      </w:r>
      <w:r>
        <w:rPr>
          <w:noProof/>
        </w:rPr>
        <w:fldChar w:fldCharType="begin"/>
      </w:r>
      <w:r>
        <w:rPr>
          <w:noProof/>
        </w:rPr>
        <w:instrText xml:space="preserve"> PAGEREF _Toc505152523 \h </w:instrText>
      </w:r>
      <w:r>
        <w:rPr>
          <w:noProof/>
        </w:rPr>
      </w:r>
      <w:r>
        <w:rPr>
          <w:noProof/>
        </w:rPr>
        <w:fldChar w:fldCharType="separate"/>
      </w:r>
      <w:r>
        <w:rPr>
          <w:noProof/>
        </w:rPr>
        <w:t>10</w:t>
      </w:r>
      <w:r>
        <w:rPr>
          <w:noProof/>
        </w:rPr>
        <w:fldChar w:fldCharType="end"/>
      </w:r>
    </w:p>
    <w:p w14:paraId="5D76C214" w14:textId="77777777" w:rsidR="00834704" w:rsidRDefault="00834704">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_Toc505152524 \h </w:instrText>
      </w:r>
      <w:r>
        <w:rPr>
          <w:noProof/>
        </w:rPr>
      </w:r>
      <w:r>
        <w:rPr>
          <w:noProof/>
        </w:rPr>
        <w:fldChar w:fldCharType="separate"/>
      </w:r>
      <w:r>
        <w:rPr>
          <w:noProof/>
        </w:rPr>
        <w:t>10</w:t>
      </w:r>
      <w:r>
        <w:rPr>
          <w:noProof/>
        </w:rPr>
        <w:fldChar w:fldCharType="end"/>
      </w:r>
    </w:p>
    <w:p w14:paraId="30007439" w14:textId="77777777" w:rsidR="00834704" w:rsidRDefault="00834704">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Poor decision making with a gun.</w:t>
      </w:r>
      <w:r>
        <w:rPr>
          <w:noProof/>
        </w:rPr>
        <w:tab/>
      </w:r>
      <w:r>
        <w:rPr>
          <w:noProof/>
        </w:rPr>
        <w:fldChar w:fldCharType="begin"/>
      </w:r>
      <w:r>
        <w:rPr>
          <w:noProof/>
        </w:rPr>
        <w:instrText xml:space="preserve"> PAGEREF _Toc505152525 \h </w:instrText>
      </w:r>
      <w:r>
        <w:rPr>
          <w:noProof/>
        </w:rPr>
      </w:r>
      <w:r>
        <w:rPr>
          <w:noProof/>
        </w:rPr>
        <w:fldChar w:fldCharType="separate"/>
      </w:r>
      <w:r>
        <w:rPr>
          <w:noProof/>
        </w:rPr>
        <w:t>10</w:t>
      </w:r>
      <w:r>
        <w:rPr>
          <w:noProof/>
        </w:rPr>
        <w:fldChar w:fldCharType="end"/>
      </w:r>
    </w:p>
    <w:p w14:paraId="1C778B52" w14:textId="77777777" w:rsidR="00834704" w:rsidRDefault="00834704">
      <w:pPr>
        <w:pStyle w:val="TOC3"/>
        <w:rPr>
          <w:rFonts w:asciiTheme="minorHAnsi" w:eastAsiaTheme="minorEastAsia" w:hAnsiTheme="minorHAnsi" w:cstheme="minorBidi"/>
          <w:noProof/>
          <w:sz w:val="24"/>
          <w:szCs w:val="24"/>
        </w:rPr>
      </w:pPr>
      <w:r>
        <w:rPr>
          <w:noProof/>
        </w:rPr>
        <w:t>Link: Self-control still developing</w:t>
      </w:r>
      <w:r>
        <w:rPr>
          <w:noProof/>
        </w:rPr>
        <w:tab/>
      </w:r>
      <w:r>
        <w:rPr>
          <w:noProof/>
        </w:rPr>
        <w:fldChar w:fldCharType="begin"/>
      </w:r>
      <w:r>
        <w:rPr>
          <w:noProof/>
        </w:rPr>
        <w:instrText xml:space="preserve"> PAGEREF _Toc505152526 \h </w:instrText>
      </w:r>
      <w:r>
        <w:rPr>
          <w:noProof/>
        </w:rPr>
      </w:r>
      <w:r>
        <w:rPr>
          <w:noProof/>
        </w:rPr>
        <w:fldChar w:fldCharType="separate"/>
      </w:r>
      <w:r>
        <w:rPr>
          <w:noProof/>
        </w:rPr>
        <w:t>10</w:t>
      </w:r>
      <w:r>
        <w:rPr>
          <w:noProof/>
        </w:rPr>
        <w:fldChar w:fldCharType="end"/>
      </w:r>
    </w:p>
    <w:p w14:paraId="31288FBF" w14:textId="77777777" w:rsidR="00834704" w:rsidRDefault="00834704">
      <w:pPr>
        <w:pStyle w:val="TOC3"/>
        <w:rPr>
          <w:rFonts w:asciiTheme="minorHAnsi" w:eastAsiaTheme="minorEastAsia" w:hAnsiTheme="minorHAnsi" w:cstheme="minorBidi"/>
          <w:noProof/>
          <w:sz w:val="24"/>
          <w:szCs w:val="24"/>
        </w:rPr>
      </w:pPr>
      <w:r>
        <w:rPr>
          <w:noProof/>
        </w:rPr>
        <w:t>Link: College-aged poor decision makers in high-stress situations</w:t>
      </w:r>
      <w:r>
        <w:rPr>
          <w:noProof/>
        </w:rPr>
        <w:tab/>
      </w:r>
      <w:r>
        <w:rPr>
          <w:noProof/>
        </w:rPr>
        <w:fldChar w:fldCharType="begin"/>
      </w:r>
      <w:r>
        <w:rPr>
          <w:noProof/>
        </w:rPr>
        <w:instrText xml:space="preserve"> PAGEREF _Toc505152527 \h </w:instrText>
      </w:r>
      <w:r>
        <w:rPr>
          <w:noProof/>
        </w:rPr>
      </w:r>
      <w:r>
        <w:rPr>
          <w:noProof/>
        </w:rPr>
        <w:fldChar w:fldCharType="separate"/>
      </w:r>
      <w:r>
        <w:rPr>
          <w:noProof/>
        </w:rPr>
        <w:t>11</w:t>
      </w:r>
      <w:r>
        <w:rPr>
          <w:noProof/>
        </w:rPr>
        <w:fldChar w:fldCharType="end"/>
      </w:r>
    </w:p>
    <w:p w14:paraId="7C1F6CBF" w14:textId="77777777" w:rsidR="00834704" w:rsidRDefault="00834704">
      <w:pPr>
        <w:pStyle w:val="TOC3"/>
        <w:rPr>
          <w:rFonts w:asciiTheme="minorHAnsi" w:eastAsiaTheme="minorEastAsia" w:hAnsiTheme="minorHAnsi" w:cstheme="minorBidi"/>
          <w:noProof/>
          <w:sz w:val="24"/>
          <w:szCs w:val="24"/>
        </w:rPr>
      </w:pPr>
      <w:r>
        <w:rPr>
          <w:noProof/>
        </w:rPr>
        <w:t>Brink: More risk taking and poorer self-control</w:t>
      </w:r>
      <w:r>
        <w:rPr>
          <w:noProof/>
        </w:rPr>
        <w:tab/>
      </w:r>
      <w:r>
        <w:rPr>
          <w:noProof/>
        </w:rPr>
        <w:fldChar w:fldCharType="begin"/>
      </w:r>
      <w:r>
        <w:rPr>
          <w:noProof/>
        </w:rPr>
        <w:instrText xml:space="preserve"> PAGEREF _Toc505152528 \h </w:instrText>
      </w:r>
      <w:r>
        <w:rPr>
          <w:noProof/>
        </w:rPr>
      </w:r>
      <w:r>
        <w:rPr>
          <w:noProof/>
        </w:rPr>
        <w:fldChar w:fldCharType="separate"/>
      </w:r>
      <w:r>
        <w:rPr>
          <w:noProof/>
        </w:rPr>
        <w:t>11</w:t>
      </w:r>
      <w:r>
        <w:rPr>
          <w:noProof/>
        </w:rPr>
        <w:fldChar w:fldCharType="end"/>
      </w:r>
    </w:p>
    <w:p w14:paraId="5C9BDDD6" w14:textId="77777777" w:rsidR="00834704" w:rsidRDefault="0083470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Increase in suicide</w:t>
      </w:r>
      <w:r>
        <w:rPr>
          <w:noProof/>
        </w:rPr>
        <w:tab/>
      </w:r>
      <w:r>
        <w:rPr>
          <w:noProof/>
        </w:rPr>
        <w:fldChar w:fldCharType="begin"/>
      </w:r>
      <w:r>
        <w:rPr>
          <w:noProof/>
        </w:rPr>
        <w:instrText xml:space="preserve"> PAGEREF _Toc505152529 \h </w:instrText>
      </w:r>
      <w:r>
        <w:rPr>
          <w:noProof/>
        </w:rPr>
      </w:r>
      <w:r>
        <w:rPr>
          <w:noProof/>
        </w:rPr>
        <w:fldChar w:fldCharType="separate"/>
      </w:r>
      <w:r>
        <w:rPr>
          <w:noProof/>
        </w:rPr>
        <w:t>12</w:t>
      </w:r>
      <w:r>
        <w:rPr>
          <w:noProof/>
        </w:rPr>
        <w:fldChar w:fldCharType="end"/>
      </w:r>
    </w:p>
    <w:p w14:paraId="629A3DB8" w14:textId="77777777" w:rsidR="00834704" w:rsidRDefault="00834704">
      <w:pPr>
        <w:pStyle w:val="TOC3"/>
        <w:rPr>
          <w:rFonts w:asciiTheme="minorHAnsi" w:eastAsiaTheme="minorEastAsia" w:hAnsiTheme="minorHAnsi" w:cstheme="minorBidi"/>
          <w:noProof/>
          <w:sz w:val="24"/>
          <w:szCs w:val="24"/>
        </w:rPr>
      </w:pPr>
      <w:r>
        <w:rPr>
          <w:noProof/>
        </w:rPr>
        <w:t>Link: Young adults at higher risk of suicide.</w:t>
      </w:r>
      <w:r>
        <w:rPr>
          <w:noProof/>
        </w:rPr>
        <w:tab/>
      </w:r>
      <w:r>
        <w:rPr>
          <w:noProof/>
        </w:rPr>
        <w:fldChar w:fldCharType="begin"/>
      </w:r>
      <w:r>
        <w:rPr>
          <w:noProof/>
        </w:rPr>
        <w:instrText xml:space="preserve"> PAGEREF _Toc505152530 \h </w:instrText>
      </w:r>
      <w:r>
        <w:rPr>
          <w:noProof/>
        </w:rPr>
      </w:r>
      <w:r>
        <w:rPr>
          <w:noProof/>
        </w:rPr>
        <w:fldChar w:fldCharType="separate"/>
      </w:r>
      <w:r>
        <w:rPr>
          <w:noProof/>
        </w:rPr>
        <w:t>12</w:t>
      </w:r>
      <w:r>
        <w:rPr>
          <w:noProof/>
        </w:rPr>
        <w:fldChar w:fldCharType="end"/>
      </w:r>
    </w:p>
    <w:p w14:paraId="523EBA06" w14:textId="77777777" w:rsidR="00834704" w:rsidRDefault="00834704">
      <w:pPr>
        <w:pStyle w:val="TOC3"/>
        <w:rPr>
          <w:rFonts w:asciiTheme="minorHAnsi" w:eastAsiaTheme="minorEastAsia" w:hAnsiTheme="minorHAnsi" w:cstheme="minorBidi"/>
          <w:noProof/>
          <w:sz w:val="24"/>
          <w:szCs w:val="24"/>
        </w:rPr>
      </w:pPr>
      <w:r>
        <w:rPr>
          <w:noProof/>
        </w:rPr>
        <w:t>Link: Suicide risk high in young adults</w:t>
      </w:r>
      <w:r>
        <w:rPr>
          <w:noProof/>
        </w:rPr>
        <w:tab/>
      </w:r>
      <w:r>
        <w:rPr>
          <w:noProof/>
        </w:rPr>
        <w:fldChar w:fldCharType="begin"/>
      </w:r>
      <w:r>
        <w:rPr>
          <w:noProof/>
        </w:rPr>
        <w:instrText xml:space="preserve"> PAGEREF _Toc505152531 \h </w:instrText>
      </w:r>
      <w:r>
        <w:rPr>
          <w:noProof/>
        </w:rPr>
      </w:r>
      <w:r>
        <w:rPr>
          <w:noProof/>
        </w:rPr>
        <w:fldChar w:fldCharType="separate"/>
      </w:r>
      <w:r>
        <w:rPr>
          <w:noProof/>
        </w:rPr>
        <w:t>12</w:t>
      </w:r>
      <w:r>
        <w:rPr>
          <w:noProof/>
        </w:rPr>
        <w:fldChar w:fldCharType="end"/>
      </w:r>
    </w:p>
    <w:p w14:paraId="4B734D86" w14:textId="77777777" w:rsidR="00834704" w:rsidRDefault="00834704">
      <w:pPr>
        <w:pStyle w:val="TOC3"/>
        <w:rPr>
          <w:rFonts w:asciiTheme="minorHAnsi" w:eastAsiaTheme="minorEastAsia" w:hAnsiTheme="minorHAnsi" w:cstheme="minorBidi"/>
          <w:noProof/>
          <w:sz w:val="24"/>
          <w:szCs w:val="24"/>
        </w:rPr>
      </w:pPr>
      <w:r>
        <w:rPr>
          <w:noProof/>
        </w:rPr>
        <w:t>Brink: Suicide attempts peak at college-age</w:t>
      </w:r>
      <w:r>
        <w:rPr>
          <w:noProof/>
        </w:rPr>
        <w:tab/>
      </w:r>
      <w:r>
        <w:rPr>
          <w:noProof/>
        </w:rPr>
        <w:fldChar w:fldCharType="begin"/>
      </w:r>
      <w:r>
        <w:rPr>
          <w:noProof/>
        </w:rPr>
        <w:instrText xml:space="preserve"> PAGEREF _Toc505152532 \h </w:instrText>
      </w:r>
      <w:r>
        <w:rPr>
          <w:noProof/>
        </w:rPr>
      </w:r>
      <w:r>
        <w:rPr>
          <w:noProof/>
        </w:rPr>
        <w:fldChar w:fldCharType="separate"/>
      </w:r>
      <w:r>
        <w:rPr>
          <w:noProof/>
        </w:rPr>
        <w:t>13</w:t>
      </w:r>
      <w:r>
        <w:rPr>
          <w:noProof/>
        </w:rPr>
        <w:fldChar w:fldCharType="end"/>
      </w:r>
    </w:p>
    <w:p w14:paraId="2171E340" w14:textId="77777777" w:rsidR="00834704" w:rsidRDefault="00834704">
      <w:pPr>
        <w:pStyle w:val="TOC3"/>
        <w:rPr>
          <w:rFonts w:asciiTheme="minorHAnsi" w:eastAsiaTheme="minorEastAsia" w:hAnsiTheme="minorHAnsi" w:cstheme="minorBidi"/>
          <w:noProof/>
          <w:sz w:val="24"/>
          <w:szCs w:val="24"/>
        </w:rPr>
      </w:pPr>
      <w:r>
        <w:rPr>
          <w:noProof/>
        </w:rPr>
        <w:lastRenderedPageBreak/>
        <w:t>Impact: Guns increase suicide risk up to five-fold, and they don't switch to other methods of suicide – the suicides simply don't happen without the gun</w:t>
      </w:r>
      <w:r>
        <w:rPr>
          <w:noProof/>
        </w:rPr>
        <w:tab/>
      </w:r>
      <w:r>
        <w:rPr>
          <w:noProof/>
        </w:rPr>
        <w:fldChar w:fldCharType="begin"/>
      </w:r>
      <w:r>
        <w:rPr>
          <w:noProof/>
        </w:rPr>
        <w:instrText xml:space="preserve"> PAGEREF _Toc505152533 \h </w:instrText>
      </w:r>
      <w:r>
        <w:rPr>
          <w:noProof/>
        </w:rPr>
      </w:r>
      <w:r>
        <w:rPr>
          <w:noProof/>
        </w:rPr>
        <w:fldChar w:fldCharType="separate"/>
      </w:r>
      <w:r>
        <w:rPr>
          <w:noProof/>
        </w:rPr>
        <w:t>13</w:t>
      </w:r>
      <w:r>
        <w:rPr>
          <w:noProof/>
        </w:rPr>
        <w:fldChar w:fldCharType="end"/>
      </w:r>
    </w:p>
    <w:p w14:paraId="2927D25D" w14:textId="77777777" w:rsidR="00834704" w:rsidRDefault="00834704">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Increased Crime</w:t>
      </w:r>
      <w:r>
        <w:rPr>
          <w:noProof/>
        </w:rPr>
        <w:tab/>
      </w:r>
      <w:r>
        <w:rPr>
          <w:noProof/>
        </w:rPr>
        <w:fldChar w:fldCharType="begin"/>
      </w:r>
      <w:r>
        <w:rPr>
          <w:noProof/>
        </w:rPr>
        <w:instrText xml:space="preserve"> PAGEREF _Toc505152534 \h </w:instrText>
      </w:r>
      <w:r>
        <w:rPr>
          <w:noProof/>
        </w:rPr>
      </w:r>
      <w:r>
        <w:rPr>
          <w:noProof/>
        </w:rPr>
        <w:fldChar w:fldCharType="separate"/>
      </w:r>
      <w:r>
        <w:rPr>
          <w:noProof/>
        </w:rPr>
        <w:t>14</w:t>
      </w:r>
      <w:r>
        <w:rPr>
          <w:noProof/>
        </w:rPr>
        <w:fldChar w:fldCharType="end"/>
      </w:r>
    </w:p>
    <w:p w14:paraId="77BDF187" w14:textId="77777777" w:rsidR="00834704" w:rsidRDefault="00834704">
      <w:pPr>
        <w:pStyle w:val="TOC3"/>
        <w:rPr>
          <w:rFonts w:asciiTheme="minorHAnsi" w:eastAsiaTheme="minorEastAsia" w:hAnsiTheme="minorHAnsi" w:cstheme="minorBidi"/>
          <w:noProof/>
          <w:sz w:val="24"/>
          <w:szCs w:val="24"/>
        </w:rPr>
      </w:pPr>
      <w:r>
        <w:rPr>
          <w:noProof/>
        </w:rPr>
        <w:t>Crime increases in response to RTC (Right to Carry) laws</w:t>
      </w:r>
      <w:r>
        <w:rPr>
          <w:noProof/>
        </w:rPr>
        <w:tab/>
      </w:r>
      <w:r>
        <w:rPr>
          <w:noProof/>
        </w:rPr>
        <w:fldChar w:fldCharType="begin"/>
      </w:r>
      <w:r>
        <w:rPr>
          <w:noProof/>
        </w:rPr>
        <w:instrText xml:space="preserve"> PAGEREF _Toc505152535 \h </w:instrText>
      </w:r>
      <w:r>
        <w:rPr>
          <w:noProof/>
        </w:rPr>
      </w:r>
      <w:r>
        <w:rPr>
          <w:noProof/>
        </w:rPr>
        <w:fldChar w:fldCharType="separate"/>
      </w:r>
      <w:r>
        <w:rPr>
          <w:noProof/>
        </w:rPr>
        <w:t>14</w:t>
      </w:r>
      <w:r>
        <w:rPr>
          <w:noProof/>
        </w:rPr>
        <w:fldChar w:fldCharType="end"/>
      </w:r>
    </w:p>
    <w:p w14:paraId="4CE7CDA4" w14:textId="77777777" w:rsidR="00834704" w:rsidRDefault="00834704">
      <w:pPr>
        <w:pStyle w:val="TOC3"/>
        <w:rPr>
          <w:rFonts w:asciiTheme="minorHAnsi" w:eastAsiaTheme="minorEastAsia" w:hAnsiTheme="minorHAnsi" w:cstheme="minorBidi"/>
          <w:noProof/>
          <w:sz w:val="24"/>
          <w:szCs w:val="24"/>
        </w:rPr>
      </w:pPr>
      <w:r>
        <w:rPr>
          <w:noProof/>
        </w:rPr>
        <w:t>RTC laws elevate violent crime rates by 10%</w:t>
      </w:r>
      <w:r>
        <w:rPr>
          <w:noProof/>
        </w:rPr>
        <w:tab/>
      </w:r>
      <w:r>
        <w:rPr>
          <w:noProof/>
        </w:rPr>
        <w:fldChar w:fldCharType="begin"/>
      </w:r>
      <w:r>
        <w:rPr>
          <w:noProof/>
        </w:rPr>
        <w:instrText xml:space="preserve"> PAGEREF _Toc505152536 \h </w:instrText>
      </w:r>
      <w:r>
        <w:rPr>
          <w:noProof/>
        </w:rPr>
      </w:r>
      <w:r>
        <w:rPr>
          <w:noProof/>
        </w:rPr>
        <w:fldChar w:fldCharType="separate"/>
      </w:r>
      <w:r>
        <w:rPr>
          <w:noProof/>
        </w:rPr>
        <w:t>14</w:t>
      </w:r>
      <w:r>
        <w:rPr>
          <w:noProof/>
        </w:rPr>
        <w:fldChar w:fldCharType="end"/>
      </w:r>
    </w:p>
    <w:p w14:paraId="73C8E152" w14:textId="77777777" w:rsidR="00834704" w:rsidRDefault="00834704">
      <w:pPr>
        <w:pStyle w:val="TOC3"/>
        <w:rPr>
          <w:rFonts w:asciiTheme="minorHAnsi" w:eastAsiaTheme="minorEastAsia" w:hAnsiTheme="minorHAnsi" w:cstheme="minorBidi"/>
          <w:noProof/>
          <w:sz w:val="24"/>
          <w:szCs w:val="24"/>
        </w:rPr>
      </w:pPr>
      <w:r>
        <w:rPr>
          <w:noProof/>
        </w:rPr>
        <w:t>RTC Laws increase crime -- even when permit holders are not committing crimes.</w:t>
      </w:r>
      <w:r>
        <w:rPr>
          <w:noProof/>
        </w:rPr>
        <w:tab/>
      </w:r>
      <w:r>
        <w:rPr>
          <w:noProof/>
        </w:rPr>
        <w:fldChar w:fldCharType="begin"/>
      </w:r>
      <w:r>
        <w:rPr>
          <w:noProof/>
        </w:rPr>
        <w:instrText xml:space="preserve"> PAGEREF _Toc505152537 \h </w:instrText>
      </w:r>
      <w:r>
        <w:rPr>
          <w:noProof/>
        </w:rPr>
      </w:r>
      <w:r>
        <w:rPr>
          <w:noProof/>
        </w:rPr>
        <w:fldChar w:fldCharType="separate"/>
      </w:r>
      <w:r>
        <w:rPr>
          <w:noProof/>
        </w:rPr>
        <w:t>15</w:t>
      </w:r>
      <w:r>
        <w:rPr>
          <w:noProof/>
        </w:rPr>
        <w:fldChar w:fldCharType="end"/>
      </w:r>
    </w:p>
    <w:p w14:paraId="7C78F155" w14:textId="77777777" w:rsidR="00834704" w:rsidRDefault="00834704">
      <w:pPr>
        <w:pStyle w:val="TOC3"/>
        <w:rPr>
          <w:rFonts w:asciiTheme="minorHAnsi" w:eastAsiaTheme="minorEastAsia" w:hAnsiTheme="minorHAnsi" w:cstheme="minorBidi"/>
          <w:noProof/>
          <w:sz w:val="24"/>
          <w:szCs w:val="24"/>
        </w:rPr>
      </w:pPr>
      <w:r>
        <w:rPr>
          <w:noProof/>
        </w:rPr>
        <w:t>Concealed carry could facilitate more shootings</w:t>
      </w:r>
      <w:r>
        <w:rPr>
          <w:noProof/>
        </w:rPr>
        <w:tab/>
      </w:r>
      <w:r>
        <w:rPr>
          <w:noProof/>
        </w:rPr>
        <w:fldChar w:fldCharType="begin"/>
      </w:r>
      <w:r>
        <w:rPr>
          <w:noProof/>
        </w:rPr>
        <w:instrText xml:space="preserve"> PAGEREF _Toc505152538 \h </w:instrText>
      </w:r>
      <w:r>
        <w:rPr>
          <w:noProof/>
        </w:rPr>
      </w:r>
      <w:r>
        <w:rPr>
          <w:noProof/>
        </w:rPr>
        <w:fldChar w:fldCharType="separate"/>
      </w:r>
      <w:r>
        <w:rPr>
          <w:noProof/>
        </w:rPr>
        <w:t>15</w:t>
      </w:r>
      <w:r>
        <w:rPr>
          <w:noProof/>
        </w:rPr>
        <w:fldChar w:fldCharType="end"/>
      </w:r>
    </w:p>
    <w:p w14:paraId="46CF5578" w14:textId="77777777" w:rsidR="00834704" w:rsidRDefault="00834704">
      <w:pPr>
        <w:pStyle w:val="TOC3"/>
        <w:rPr>
          <w:rFonts w:asciiTheme="minorHAnsi" w:eastAsiaTheme="minorEastAsia" w:hAnsiTheme="minorHAnsi" w:cstheme="minorBidi"/>
          <w:noProof/>
          <w:sz w:val="24"/>
          <w:szCs w:val="24"/>
        </w:rPr>
      </w:pPr>
      <w:r>
        <w:rPr>
          <w:noProof/>
        </w:rPr>
        <w:t>High-fatality mass shootings INCREASED, after RTC (Right to Carry) laws were enacted</w:t>
      </w:r>
      <w:r>
        <w:rPr>
          <w:noProof/>
        </w:rPr>
        <w:tab/>
      </w:r>
      <w:r>
        <w:rPr>
          <w:noProof/>
        </w:rPr>
        <w:fldChar w:fldCharType="begin"/>
      </w:r>
      <w:r>
        <w:rPr>
          <w:noProof/>
        </w:rPr>
        <w:instrText xml:space="preserve"> PAGEREF _Toc505152539 \h </w:instrText>
      </w:r>
      <w:r>
        <w:rPr>
          <w:noProof/>
        </w:rPr>
      </w:r>
      <w:r>
        <w:rPr>
          <w:noProof/>
        </w:rPr>
        <w:fldChar w:fldCharType="separate"/>
      </w:r>
      <w:r>
        <w:rPr>
          <w:noProof/>
        </w:rPr>
        <w:t>15</w:t>
      </w:r>
      <w:r>
        <w:rPr>
          <w:noProof/>
        </w:rPr>
        <w:fldChar w:fldCharType="end"/>
      </w:r>
    </w:p>
    <w:p w14:paraId="1B0EC5B9" w14:textId="77777777" w:rsidR="00834704" w:rsidRDefault="00834704">
      <w:pPr>
        <w:pStyle w:val="TOC3"/>
        <w:rPr>
          <w:rFonts w:asciiTheme="minorHAnsi" w:eastAsiaTheme="minorEastAsia" w:hAnsiTheme="minorHAnsi" w:cstheme="minorBidi"/>
          <w:noProof/>
          <w:sz w:val="24"/>
          <w:szCs w:val="24"/>
        </w:rPr>
      </w:pPr>
      <w:r>
        <w:rPr>
          <w:noProof/>
        </w:rPr>
        <w:t>Gun restrictions reduce violence because the presence of a gun escalates disputes and their consequences</w:t>
      </w:r>
      <w:r>
        <w:rPr>
          <w:noProof/>
        </w:rPr>
        <w:tab/>
      </w:r>
      <w:r>
        <w:rPr>
          <w:noProof/>
        </w:rPr>
        <w:fldChar w:fldCharType="begin"/>
      </w:r>
      <w:r>
        <w:rPr>
          <w:noProof/>
        </w:rPr>
        <w:instrText xml:space="preserve"> PAGEREF _Toc505152540 \h </w:instrText>
      </w:r>
      <w:r>
        <w:rPr>
          <w:noProof/>
        </w:rPr>
      </w:r>
      <w:r>
        <w:rPr>
          <w:noProof/>
        </w:rPr>
        <w:fldChar w:fldCharType="separate"/>
      </w:r>
      <w:r>
        <w:rPr>
          <w:noProof/>
        </w:rPr>
        <w:t>16</w:t>
      </w:r>
      <w:r>
        <w:rPr>
          <w:noProof/>
        </w:rPr>
        <w:fldChar w:fldCharType="end"/>
      </w:r>
    </w:p>
    <w:p w14:paraId="20C3F79E" w14:textId="77777777" w:rsidR="00834704" w:rsidRDefault="00834704">
      <w:pPr>
        <w:pStyle w:val="TOC2"/>
        <w:rPr>
          <w:rFonts w:asciiTheme="minorHAnsi" w:eastAsiaTheme="minorEastAsia" w:hAnsiTheme="minorHAnsi" w:cstheme="minorBidi"/>
          <w:noProof/>
          <w:sz w:val="24"/>
          <w:szCs w:val="24"/>
        </w:rPr>
      </w:pPr>
      <w:r>
        <w:rPr>
          <w:noProof/>
        </w:rPr>
        <w:t>4.  Complicates police intervention</w:t>
      </w:r>
      <w:r>
        <w:rPr>
          <w:noProof/>
        </w:rPr>
        <w:tab/>
      </w:r>
      <w:r>
        <w:rPr>
          <w:noProof/>
        </w:rPr>
        <w:fldChar w:fldCharType="begin"/>
      </w:r>
      <w:r>
        <w:rPr>
          <w:noProof/>
        </w:rPr>
        <w:instrText xml:space="preserve"> PAGEREF _Toc505152541 \h </w:instrText>
      </w:r>
      <w:r>
        <w:rPr>
          <w:noProof/>
        </w:rPr>
      </w:r>
      <w:r>
        <w:rPr>
          <w:noProof/>
        </w:rPr>
        <w:fldChar w:fldCharType="separate"/>
      </w:r>
      <w:r>
        <w:rPr>
          <w:noProof/>
        </w:rPr>
        <w:t>16</w:t>
      </w:r>
      <w:r>
        <w:rPr>
          <w:noProof/>
        </w:rPr>
        <w:fldChar w:fldCharType="end"/>
      </w:r>
    </w:p>
    <w:p w14:paraId="18FF1EB9" w14:textId="77777777" w:rsidR="00834704" w:rsidRDefault="00834704">
      <w:pPr>
        <w:pStyle w:val="TOC3"/>
        <w:rPr>
          <w:rFonts w:asciiTheme="minorHAnsi" w:eastAsiaTheme="minorEastAsia" w:hAnsiTheme="minorHAnsi" w:cstheme="minorBidi"/>
          <w:noProof/>
          <w:sz w:val="24"/>
          <w:szCs w:val="24"/>
        </w:rPr>
      </w:pPr>
      <w:r>
        <w:rPr>
          <w:noProof/>
        </w:rPr>
        <w:t>Police find situations more complicated, harder to de-escalate when everyone is armed.  Impact: More death and injury</w:t>
      </w:r>
      <w:r>
        <w:rPr>
          <w:noProof/>
        </w:rPr>
        <w:tab/>
      </w:r>
      <w:r>
        <w:rPr>
          <w:noProof/>
        </w:rPr>
        <w:fldChar w:fldCharType="begin"/>
      </w:r>
      <w:r>
        <w:rPr>
          <w:noProof/>
        </w:rPr>
        <w:instrText xml:space="preserve"> PAGEREF _Toc505152542 \h </w:instrText>
      </w:r>
      <w:r>
        <w:rPr>
          <w:noProof/>
        </w:rPr>
      </w:r>
      <w:r>
        <w:rPr>
          <w:noProof/>
        </w:rPr>
        <w:fldChar w:fldCharType="separate"/>
      </w:r>
      <w:r>
        <w:rPr>
          <w:noProof/>
        </w:rPr>
        <w:t>16</w:t>
      </w:r>
      <w:r>
        <w:rPr>
          <w:noProof/>
        </w:rPr>
        <w:fldChar w:fldCharType="end"/>
      </w:r>
    </w:p>
    <w:p w14:paraId="0E4A6D23" w14:textId="77777777" w:rsidR="00834704" w:rsidRDefault="00834704">
      <w:pPr>
        <w:pStyle w:val="TOC2"/>
        <w:rPr>
          <w:rFonts w:asciiTheme="minorHAnsi" w:eastAsiaTheme="minorEastAsia" w:hAnsiTheme="minorHAnsi" w:cstheme="minorBidi"/>
          <w:noProof/>
          <w:sz w:val="24"/>
          <w:szCs w:val="24"/>
        </w:rPr>
      </w:pPr>
      <w:r>
        <w:rPr>
          <w:noProof/>
        </w:rPr>
        <w:t>5. Drunk guys with guns</w:t>
      </w:r>
      <w:r>
        <w:rPr>
          <w:noProof/>
        </w:rPr>
        <w:tab/>
      </w:r>
      <w:r>
        <w:rPr>
          <w:noProof/>
        </w:rPr>
        <w:fldChar w:fldCharType="begin"/>
      </w:r>
      <w:r>
        <w:rPr>
          <w:noProof/>
        </w:rPr>
        <w:instrText xml:space="preserve"> PAGEREF _Toc505152543 \h </w:instrText>
      </w:r>
      <w:r>
        <w:rPr>
          <w:noProof/>
        </w:rPr>
      </w:r>
      <w:r>
        <w:rPr>
          <w:noProof/>
        </w:rPr>
        <w:fldChar w:fldCharType="separate"/>
      </w:r>
      <w:r>
        <w:rPr>
          <w:noProof/>
        </w:rPr>
        <w:t>17</w:t>
      </w:r>
      <w:r>
        <w:rPr>
          <w:noProof/>
        </w:rPr>
        <w:fldChar w:fldCharType="end"/>
      </w:r>
    </w:p>
    <w:p w14:paraId="58498798" w14:textId="77777777" w:rsidR="00834704" w:rsidRDefault="00834704">
      <w:pPr>
        <w:pStyle w:val="TOC3"/>
        <w:rPr>
          <w:rFonts w:asciiTheme="minorHAnsi" w:eastAsiaTheme="minorEastAsia" w:hAnsiTheme="minorHAnsi" w:cstheme="minorBidi"/>
          <w:noProof/>
          <w:sz w:val="24"/>
          <w:szCs w:val="24"/>
        </w:rPr>
      </w:pPr>
      <w:r>
        <w:rPr>
          <w:noProof/>
        </w:rPr>
        <w:t>Link: College drinking environment may lead to violence</w:t>
      </w:r>
      <w:r>
        <w:rPr>
          <w:noProof/>
        </w:rPr>
        <w:tab/>
      </w:r>
      <w:r>
        <w:rPr>
          <w:noProof/>
        </w:rPr>
        <w:fldChar w:fldCharType="begin"/>
      </w:r>
      <w:r>
        <w:rPr>
          <w:noProof/>
        </w:rPr>
        <w:instrText xml:space="preserve"> PAGEREF _Toc505152544 \h </w:instrText>
      </w:r>
      <w:r>
        <w:rPr>
          <w:noProof/>
        </w:rPr>
      </w:r>
      <w:r>
        <w:rPr>
          <w:noProof/>
        </w:rPr>
        <w:fldChar w:fldCharType="separate"/>
      </w:r>
      <w:r>
        <w:rPr>
          <w:noProof/>
        </w:rPr>
        <w:t>17</w:t>
      </w:r>
      <w:r>
        <w:rPr>
          <w:noProof/>
        </w:rPr>
        <w:fldChar w:fldCharType="end"/>
      </w:r>
    </w:p>
    <w:p w14:paraId="17E3AEAF" w14:textId="77777777" w:rsidR="00834704" w:rsidRDefault="00834704">
      <w:pPr>
        <w:pStyle w:val="TOC3"/>
        <w:rPr>
          <w:rFonts w:asciiTheme="minorHAnsi" w:eastAsiaTheme="minorEastAsia" w:hAnsiTheme="minorHAnsi" w:cstheme="minorBidi"/>
          <w:noProof/>
          <w:sz w:val="24"/>
          <w:szCs w:val="24"/>
        </w:rPr>
      </w:pPr>
      <w:r>
        <w:rPr>
          <w:noProof/>
        </w:rPr>
        <w:t>Brink: Guns make drinking environment more dangerous</w:t>
      </w:r>
      <w:r>
        <w:rPr>
          <w:noProof/>
        </w:rPr>
        <w:tab/>
      </w:r>
      <w:r>
        <w:rPr>
          <w:noProof/>
        </w:rPr>
        <w:fldChar w:fldCharType="begin"/>
      </w:r>
      <w:r>
        <w:rPr>
          <w:noProof/>
        </w:rPr>
        <w:instrText xml:space="preserve"> PAGEREF _Toc505152545 \h </w:instrText>
      </w:r>
      <w:r>
        <w:rPr>
          <w:noProof/>
        </w:rPr>
      </w:r>
      <w:r>
        <w:rPr>
          <w:noProof/>
        </w:rPr>
        <w:fldChar w:fldCharType="separate"/>
      </w:r>
      <w:r>
        <w:rPr>
          <w:noProof/>
        </w:rPr>
        <w:t>17</w:t>
      </w:r>
      <w:r>
        <w:rPr>
          <w:noProof/>
        </w:rPr>
        <w:fldChar w:fldCharType="end"/>
      </w:r>
    </w:p>
    <w:p w14:paraId="14B12899" w14:textId="77777777" w:rsidR="00834704" w:rsidRDefault="00834704">
      <w:pPr>
        <w:pStyle w:val="TOC3"/>
        <w:rPr>
          <w:rFonts w:asciiTheme="minorHAnsi" w:eastAsiaTheme="minorEastAsia" w:hAnsiTheme="minorHAnsi" w:cstheme="minorBidi"/>
          <w:noProof/>
          <w:sz w:val="24"/>
          <w:szCs w:val="24"/>
        </w:rPr>
      </w:pPr>
      <w:r>
        <w:rPr>
          <w:noProof/>
        </w:rPr>
        <w:t>Impact: Violence &amp; Death. Alcohol-related violence high in college populations</w:t>
      </w:r>
      <w:r>
        <w:rPr>
          <w:noProof/>
        </w:rPr>
        <w:tab/>
      </w:r>
      <w:r>
        <w:rPr>
          <w:noProof/>
        </w:rPr>
        <w:fldChar w:fldCharType="begin"/>
      </w:r>
      <w:r>
        <w:rPr>
          <w:noProof/>
        </w:rPr>
        <w:instrText xml:space="preserve"> PAGEREF _Toc505152546 \h </w:instrText>
      </w:r>
      <w:r>
        <w:rPr>
          <w:noProof/>
        </w:rPr>
      </w:r>
      <w:r>
        <w:rPr>
          <w:noProof/>
        </w:rPr>
        <w:fldChar w:fldCharType="separate"/>
      </w:r>
      <w:r>
        <w:rPr>
          <w:noProof/>
        </w:rPr>
        <w:t>17</w:t>
      </w:r>
      <w:r>
        <w:rPr>
          <w:noProof/>
        </w:rPr>
        <w:fldChar w:fldCharType="end"/>
      </w:r>
    </w:p>
    <w:p w14:paraId="029270D7" w14:textId="00635343" w:rsidR="00CF79A8" w:rsidRDefault="00DE0722" w:rsidP="00AF1D3F">
      <w:pPr>
        <w:pStyle w:val="TOC2"/>
      </w:pPr>
      <w:r>
        <w:rPr>
          <w:bCs/>
          <w:noProof/>
          <w:sz w:val="22"/>
        </w:rPr>
        <w:fldChar w:fldCharType="end"/>
      </w:r>
    </w:p>
    <w:p w14:paraId="112CF082" w14:textId="77777777" w:rsidR="00CF79A8" w:rsidRPr="00CF79A8" w:rsidRDefault="00CF79A8" w:rsidP="00CF79A8"/>
    <w:p w14:paraId="7875166B" w14:textId="77777777" w:rsidR="00CF79A8" w:rsidRPr="00CF79A8" w:rsidRDefault="00CF79A8" w:rsidP="00CF79A8"/>
    <w:p w14:paraId="5769634F" w14:textId="05471A7D" w:rsidR="00AF1D3F" w:rsidRPr="00CF79A8" w:rsidRDefault="00AF1D3F" w:rsidP="00CF79A8">
      <w:pPr>
        <w:sectPr w:rsidR="00AF1D3F" w:rsidRPr="00CF79A8" w:rsidSect="00AF1D3F">
          <w:headerReference w:type="default" r:id="rId8"/>
          <w:footerReference w:type="default" r:id="rId9"/>
          <w:pgSz w:w="12240" w:h="15840"/>
          <w:pgMar w:top="1440" w:right="1440" w:bottom="1440" w:left="1440" w:header="720" w:footer="720" w:gutter="0"/>
          <w:cols w:space="720"/>
        </w:sectPr>
      </w:pPr>
    </w:p>
    <w:p w14:paraId="3D4D3A9F" w14:textId="295EBA0E" w:rsidR="00CD2A66" w:rsidRPr="003276AB" w:rsidRDefault="00031436" w:rsidP="00BC5EFB">
      <w:pPr>
        <w:pStyle w:val="Title2"/>
      </w:pPr>
      <w:bookmarkStart w:id="0" w:name="_Toc505152498"/>
      <w:r>
        <w:lastRenderedPageBreak/>
        <w:t>Negative Brief</w:t>
      </w:r>
      <w:r w:rsidR="008874F7">
        <w:t xml:space="preserve">: </w:t>
      </w:r>
      <w:r w:rsidR="00A84206">
        <w:t>Guns on Campus</w:t>
      </w:r>
      <w:bookmarkEnd w:id="0"/>
    </w:p>
    <w:p w14:paraId="24790385" w14:textId="0736FDA0" w:rsidR="00344D21" w:rsidRDefault="00344D21" w:rsidP="00DA2B2D">
      <w:pPr>
        <w:pStyle w:val="Contention1"/>
      </w:pPr>
      <w:bookmarkStart w:id="1" w:name="_Toc505152499"/>
      <w:r>
        <w:t>SOURCE INDICTMENT</w:t>
      </w:r>
      <w:bookmarkEnd w:id="1"/>
    </w:p>
    <w:p w14:paraId="4E3686B3" w14:textId="58E1945B" w:rsidR="00344D21" w:rsidRDefault="00344D21" w:rsidP="00344D21">
      <w:pPr>
        <w:pStyle w:val="Contention2"/>
      </w:pPr>
      <w:bookmarkStart w:id="2" w:name="_Toc505152500"/>
      <w:r>
        <w:t>Professor John Lott – conclusions not supported by independent researchers with the same data</w:t>
      </w:r>
      <w:bookmarkEnd w:id="2"/>
    </w:p>
    <w:p w14:paraId="7DC7A552" w14:textId="58299499" w:rsidR="00344D21" w:rsidRDefault="00344D21" w:rsidP="00344D21">
      <w:pPr>
        <w:pStyle w:val="Citation3"/>
      </w:pPr>
      <w:bookmarkStart w:id="3" w:name="_Toc505152975"/>
      <w:r w:rsidRPr="00F917CE">
        <w:rPr>
          <w:u w:val="single"/>
        </w:rPr>
        <w:t xml:space="preserve">Johns Hopkins </w:t>
      </w:r>
      <w:r>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10" w:history="1">
        <w:r w:rsidRPr="00F276CE">
          <w:rPr>
            <w:rStyle w:val="Hyperlink"/>
          </w:rPr>
          <w:t>https://www.jhsph.edu/research/centers-and-institutes/johns-hopkins-center-for-gun-policy-and-research/_pdfs/GunsOnCampus.pdf</w:t>
        </w:r>
      </w:hyperlink>
      <w:r>
        <w:rPr>
          <w:rStyle w:val="Hyperlink"/>
        </w:rPr>
        <w:t xml:space="preserve"> (Brackets added)</w:t>
      </w:r>
      <w:bookmarkEnd w:id="3"/>
      <w:r>
        <w:rPr>
          <w:rStyle w:val="Hyperlink"/>
        </w:rPr>
        <w:t xml:space="preserve"> </w:t>
      </w:r>
    </w:p>
    <w:p w14:paraId="5188C694" w14:textId="25C3809C" w:rsidR="00344D21" w:rsidRDefault="00344D21" w:rsidP="00344D21">
      <w:pPr>
        <w:pStyle w:val="Evidence"/>
      </w:pPr>
      <w:r w:rsidRPr="00344D21">
        <w:rPr>
          <w:u w:val="single"/>
        </w:rPr>
        <w:t>Advocates for allowing civilians to bring guns onto college campuses and to deregulate carrying of guns in public places in general commonly cite research and statements by John Lott, an economist widely known for his claims that deregulating gun possession reaps significant reductions in violent crime. Lott supports his claims with data and analytic methods that others have consistently found to have important flaws</w:t>
      </w:r>
      <w:r w:rsidRPr="00893539">
        <w:t xml:space="preserve">. In the 2nd edition of More Guns, Less Crime, Lott reported to have assembled a dataset of all mass shootings in the United States from 1977 to 1997. He found that the adoption of RTC laws was associated with a 67% reduction in mass shootings, completely eliminating mass shootings within five years of enactment. He also claimed RTC laws led to a 75% reduction in deaths from such shootings and an 81% reduction in persons injured in these shootings. However, </w:t>
      </w:r>
      <w:r w:rsidRPr="00344D21">
        <w:rPr>
          <w:u w:val="single"/>
        </w:rPr>
        <w:t xml:space="preserve">an independent team of researchers tried to reproduce Lott’s findings on RTC </w:t>
      </w:r>
      <w:r>
        <w:rPr>
          <w:u w:val="single"/>
        </w:rPr>
        <w:t xml:space="preserve">[Right To Carry] </w:t>
      </w:r>
      <w:r w:rsidRPr="00344D21">
        <w:rPr>
          <w:u w:val="single"/>
        </w:rPr>
        <w:t>laws and mass shootings, and found no association between such laws and such shootings</w:t>
      </w:r>
    </w:p>
    <w:p w14:paraId="071C2DBD" w14:textId="0B76BFD7" w:rsidR="00847135" w:rsidRDefault="00847135" w:rsidP="00DA2B2D">
      <w:pPr>
        <w:pStyle w:val="Contention1"/>
      </w:pPr>
      <w:bookmarkStart w:id="4" w:name="_Toc505152501"/>
      <w:r>
        <w:t>INHERENCY</w:t>
      </w:r>
      <w:bookmarkEnd w:id="4"/>
      <w:r>
        <w:t xml:space="preserve"> </w:t>
      </w:r>
    </w:p>
    <w:p w14:paraId="3CAF85A9" w14:textId="77777777" w:rsidR="009A2DD0" w:rsidRDefault="009A2DD0" w:rsidP="009A2DD0">
      <w:pPr>
        <w:pStyle w:val="Contention2"/>
      </w:pPr>
      <w:bookmarkStart w:id="5" w:name="_Toc505152502"/>
      <w:r>
        <w:t>Half of the states allow colleges to decide</w:t>
      </w:r>
      <w:bookmarkEnd w:id="5"/>
    </w:p>
    <w:p w14:paraId="34A78248" w14:textId="39CE40A5" w:rsidR="009A2DD0" w:rsidRDefault="00E329C3" w:rsidP="009A2DD0">
      <w:pPr>
        <w:pStyle w:val="Citation3"/>
      </w:pPr>
      <w:bookmarkStart w:id="6" w:name="_Toc505152976"/>
      <w:r>
        <w:rPr>
          <w:u w:val="single"/>
        </w:rPr>
        <w:t>Los Angeles Times</w:t>
      </w:r>
      <w:r w:rsidR="009A2DD0" w:rsidRPr="004022FA">
        <w:rPr>
          <w:u w:val="single"/>
        </w:rPr>
        <w:t xml:space="preserve"> 2017</w:t>
      </w:r>
      <w:r w:rsidR="009A2DD0">
        <w:t>.  (</w:t>
      </w:r>
      <w:r>
        <w:t>written by the LA TIMES</w:t>
      </w:r>
      <w:r w:rsidR="009A2DD0" w:rsidRPr="004022FA">
        <w:t xml:space="preserve"> editorial board</w:t>
      </w:r>
      <w:r w:rsidR="009A2DD0">
        <w:t xml:space="preserve"> “</w:t>
      </w:r>
      <w:r w:rsidR="009A2DD0" w:rsidRPr="004022FA">
        <w:t>Editorial Allowing concealed weapons on college campuses is a silly, and dangerous, idea</w:t>
      </w:r>
      <w:r w:rsidR="009A2DD0">
        <w:t xml:space="preserve">” January 17, 2017.  </w:t>
      </w:r>
      <w:hyperlink r:id="rId11" w:anchor="ampshare=http://www.latimes.com/opinion/editorials/la-ed-colleges-concealed-weapons-nra-20170110-story.html" w:history="1">
        <w:r w:rsidR="009A2DD0" w:rsidRPr="008339B9">
          <w:rPr>
            <w:rStyle w:val="Hyperlink"/>
          </w:rPr>
          <w:t>http://www.latimes.com/opinion/editorials/la-ed-colleges-concealed-weapons-nra-20170110-story.html#ampshare=http://www.latimes.com/opinion/editorials/la-ed-colleges-concealed-weapons-nra-20170110-story.html</w:t>
        </w:r>
        <w:bookmarkEnd w:id="6"/>
      </w:hyperlink>
    </w:p>
    <w:p w14:paraId="193DCE7D" w14:textId="77777777" w:rsidR="009A2DD0" w:rsidRDefault="009A2DD0" w:rsidP="009A2DD0">
      <w:pPr>
        <w:pStyle w:val="Evidence"/>
      </w:pPr>
      <w:r w:rsidRPr="009B56A4">
        <w:t>With that law, Texas became the eighth state to allow campus carry (some of those states limit weapons to employees and faculty). Nearly half the states — 23 — leave the decision up to college and university officials, and 19 more — including California — ban the practice. But campus-carry drives, building on state-level Republican election wins in November, are underway in Arkansas, Florida, Georgia, South Carolina, and Wisconsin.</w:t>
      </w:r>
    </w:p>
    <w:p w14:paraId="59478D0F" w14:textId="7A448122" w:rsidR="00847135" w:rsidRDefault="00847135" w:rsidP="00847135">
      <w:pPr>
        <w:pStyle w:val="Contention2"/>
      </w:pPr>
      <w:bookmarkStart w:id="7" w:name="_Toc505152503"/>
      <w:r>
        <w:t>States already changing their laws</w:t>
      </w:r>
      <w:bookmarkEnd w:id="7"/>
    </w:p>
    <w:p w14:paraId="79EA9C38" w14:textId="1319C602" w:rsidR="00847135" w:rsidRDefault="00847135" w:rsidP="00847135">
      <w:pPr>
        <w:pStyle w:val="Citation3"/>
      </w:pPr>
      <w:bookmarkStart w:id="8" w:name="_Hlk501721750"/>
      <w:bookmarkStart w:id="9" w:name="_Toc505152977"/>
      <w:r w:rsidRPr="00847135">
        <w:rPr>
          <w:u w:val="single"/>
        </w:rPr>
        <w:t>Abby Jackson and Skye Gould, 2017.</w:t>
      </w:r>
      <w:r>
        <w:t xml:space="preserve"> (Jackson: On Business Insider’s education team. S</w:t>
      </w:r>
      <w:r w:rsidRPr="00847135">
        <w:t>he worked in education policy in Washington, DC, dealing with standards-based reform and the Common Core. She graduated from Yale University with a degree in political science. Skye is a Senior Graphic Designer for Business Insider.</w:t>
      </w:r>
      <w:r>
        <w:t>) “</w:t>
      </w:r>
      <w:r w:rsidRPr="00847135">
        <w:t>10 states allow guns on college campuses and 16 more are considering it</w:t>
      </w:r>
      <w:r>
        <w:t>”</w:t>
      </w:r>
      <w:r w:rsidRPr="00847135">
        <w:t xml:space="preserve"> Apr. 27, 2017</w:t>
      </w:r>
      <w:r>
        <w:t xml:space="preserve">. </w:t>
      </w:r>
      <w:hyperlink r:id="rId12" w:history="1">
        <w:r w:rsidR="00834704" w:rsidRPr="00AB55EE">
          <w:rPr>
            <w:rStyle w:val="Hyperlink"/>
          </w:rPr>
          <w:t>http://www.businessinsider.com/states-that-allow-guns-on-college-campuses-2017-4#ampshare=http://www.businessinsider.com/states-that-allow-guns-on-college-campuses-2017-4</w:t>
        </w:r>
        <w:bookmarkEnd w:id="9"/>
      </w:hyperlink>
      <w:r w:rsidR="00834704">
        <w:t xml:space="preserve"> </w:t>
      </w:r>
    </w:p>
    <w:bookmarkEnd w:id="8"/>
    <w:p w14:paraId="2AA74801" w14:textId="2F7DF5A4" w:rsidR="00847135" w:rsidRDefault="00847135" w:rsidP="00847135">
      <w:pPr>
        <w:pStyle w:val="Evidence"/>
      </w:pPr>
      <w:r w:rsidRPr="00847135">
        <w:t>"Utah was the first state to allow guns on campus in 2004," Andy Pelosi, </w:t>
      </w:r>
      <w:hyperlink r:id="rId13" w:tgtFrame="_blank" w:history="1">
        <w:r w:rsidRPr="00847135">
          <w:t>executive director of The Campaign to Keep Guns Off Campus</w:t>
        </w:r>
      </w:hyperlink>
      <w:r w:rsidRPr="00847135">
        <w:t>, told Business Insider. "Since then, there has been a trend of pretty much one state a year changing their laws," he continued. In the year 2000, no states had laws on their books that allowed guns on college campuses. Today, 10 states have signed such laws. And an eleventh, Georgia, passed such legislation in March. It's awaiting the governor's signature.</w:t>
      </w:r>
    </w:p>
    <w:p w14:paraId="384A2CF9" w14:textId="29CF98CF" w:rsidR="009B56A4" w:rsidRDefault="009B56A4" w:rsidP="00847135">
      <w:pPr>
        <w:pStyle w:val="Contention1"/>
      </w:pPr>
      <w:bookmarkStart w:id="10" w:name="_Toc505152504"/>
      <w:r>
        <w:lastRenderedPageBreak/>
        <w:t>HARMS / SIGNIFICANCE</w:t>
      </w:r>
      <w:bookmarkEnd w:id="10"/>
    </w:p>
    <w:p w14:paraId="6298F813" w14:textId="77777777" w:rsidR="009A2DD0" w:rsidRDefault="009A2DD0" w:rsidP="009A2DD0">
      <w:pPr>
        <w:pStyle w:val="Contention2"/>
      </w:pPr>
      <w:bookmarkStart w:id="11" w:name="_Toc505152505"/>
      <w:r>
        <w:t>“Gun-free zones are targets for shooters” RESPONSE: Evidence lacking</w:t>
      </w:r>
      <w:bookmarkEnd w:id="11"/>
      <w:r>
        <w:t xml:space="preserve"> </w:t>
      </w:r>
    </w:p>
    <w:p w14:paraId="2171E9FD" w14:textId="3892CAB7" w:rsidR="009A2DD0" w:rsidRDefault="009A2DD0" w:rsidP="009A2DD0">
      <w:pPr>
        <w:pStyle w:val="Citation3"/>
      </w:pPr>
      <w:bookmarkStart w:id="12" w:name="_Toc505152978"/>
      <w:r w:rsidRPr="00F917CE">
        <w:rPr>
          <w:u w:val="single"/>
        </w:rPr>
        <w:t xml:space="preserve">Johns Hopkins </w:t>
      </w:r>
      <w:r w:rsidR="00E329C3">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14" w:history="1">
        <w:r w:rsidRPr="00F276CE">
          <w:rPr>
            <w:rStyle w:val="Hyperlink"/>
          </w:rPr>
          <w:t>https://www.jhsph.edu/research/centers-and-institutes/johns-hopkins-center-for-gun-policy-and-research/_pdfs/GunsOnCampus.pdf</w:t>
        </w:r>
        <w:bookmarkEnd w:id="12"/>
      </w:hyperlink>
    </w:p>
    <w:p w14:paraId="2A2A56C5" w14:textId="61055F8B" w:rsidR="009A2DD0" w:rsidRPr="00344D21" w:rsidRDefault="009A2DD0" w:rsidP="009A2DD0">
      <w:pPr>
        <w:pStyle w:val="Evidence"/>
      </w:pPr>
      <w:r w:rsidRPr="00344D21">
        <w:t xml:space="preserve">There is also little evidence that perpetrators of mass shootings intentionally seek out their targets based on whether or not civilians are prohibited from having guns. Most targets of mass shootings are directed at a specific person, group, or institution with whom the perpetrator has a grievance. Everytown for Gun Safety analyzed data on mass shootings using a slightly less conservative definition than that employed by Klarevas – four persons killed with a firearm, not including the shooter – for the period 2009-2015 and found that the majority (57%) of the incidents involved a shooter’s current or former intimate partner or family member. Seventy-one percent of the incidents occurred in a private dwelling and only 13% occurred in a public location that could qualify as a gun free or gun restricting zone. </w:t>
      </w:r>
    </w:p>
    <w:p w14:paraId="162CEDC4" w14:textId="7BFCA7C4" w:rsidR="009A2DD0" w:rsidRDefault="009A2DD0" w:rsidP="009A2DD0">
      <w:pPr>
        <w:pStyle w:val="Contention2"/>
      </w:pPr>
      <w:bookmarkStart w:id="13" w:name="_Toc505152506"/>
      <w:r>
        <w:t xml:space="preserve">Schools safer than most places </w:t>
      </w:r>
      <w:r w:rsidR="00344D21">
        <w:t>– crime much more likely OFF campus</w:t>
      </w:r>
      <w:bookmarkEnd w:id="13"/>
    </w:p>
    <w:p w14:paraId="54AA31AD" w14:textId="7E7515AC" w:rsidR="009A2DD0" w:rsidRDefault="009A2DD0" w:rsidP="009A2DD0">
      <w:pPr>
        <w:pStyle w:val="Citation3"/>
      </w:pPr>
      <w:bookmarkStart w:id="14" w:name="_Toc505152979"/>
      <w:r w:rsidRPr="00A623F0">
        <w:rPr>
          <w:u w:val="single"/>
        </w:rPr>
        <w:t>The Editorial Board, USA TODAY, 2015</w:t>
      </w:r>
      <w:r>
        <w:t>. (</w:t>
      </w:r>
      <w:r w:rsidRPr="00A623F0">
        <w:t xml:space="preserve">USA TODAY's editorial opinions are decided by its Editorial Board, separate from the news staff. </w:t>
      </w:r>
      <w:r w:rsidR="00344D21">
        <w:t>)</w:t>
      </w:r>
      <w:r>
        <w:t>“</w:t>
      </w:r>
      <w:r w:rsidRPr="00A623F0">
        <w:t>Campus-carry gun laws won't make colleges safer: Our view</w:t>
      </w:r>
      <w:r>
        <w:t xml:space="preserve">” </w:t>
      </w:r>
      <w:r w:rsidRPr="00A623F0">
        <w:t>June 8, 2015</w:t>
      </w:r>
      <w:r>
        <w:t xml:space="preserve">. </w:t>
      </w:r>
      <w:hyperlink r:id="rId15" w:history="1">
        <w:r w:rsidR="00834704" w:rsidRPr="00AB55EE">
          <w:rPr>
            <w:rStyle w:val="Hyperlink"/>
          </w:rPr>
          <w:t>https://www.usatoday.com/story/opinion/2015/06/08/guns-handguns-concealed-carry-college-campus-texas-legislature-editorials-debates/28688893/#ampshare=https://www.usatoday.com/story/opinion/2015/06/08/guns-handguns-concealed-carry-college-campus-texas-legislature-editorials-debates/28688893/</w:t>
        </w:r>
        <w:bookmarkEnd w:id="14"/>
      </w:hyperlink>
      <w:r w:rsidR="00834704">
        <w:t xml:space="preserve"> </w:t>
      </w:r>
    </w:p>
    <w:p w14:paraId="2040908B" w14:textId="77777777" w:rsidR="009A2DD0" w:rsidRPr="00344D21" w:rsidRDefault="009A2DD0" w:rsidP="00344D21">
      <w:pPr>
        <w:pStyle w:val="Evidence"/>
      </w:pPr>
      <w:r w:rsidRPr="00344D21">
        <w:t>Gun advocates claim campuses are unsafe, but </w:t>
      </w:r>
      <w:hyperlink r:id="rId16" w:tooltip="https://www.usatoday.com/story/news/nation/2013/11/13/school-violence-security-sandy-hook/3446023/" w:history="1">
        <w:r w:rsidRPr="00344D21">
          <w:rPr>
            <w:rStyle w:val="Hyperlink"/>
            <w:color w:val="000000"/>
            <w:u w:val="none"/>
          </w:rPr>
          <w:t>statistics show</w:t>
        </w:r>
      </w:hyperlink>
      <w:r w:rsidRPr="00344D21">
        <w:t> that college students are much likelier to be crime victims when they leave school than when they're on campus. As horrific as campus shootings are, they're extremely rare. They can be reduced by identifying disturbed students, getting them into treatment, stopping them from buying guns and keeping professional campus security forces at the ready.</w:t>
      </w:r>
    </w:p>
    <w:p w14:paraId="7D494791" w14:textId="4A981A62" w:rsidR="009B56A4" w:rsidRDefault="008B602C" w:rsidP="009B56A4">
      <w:pPr>
        <w:pStyle w:val="Contention2"/>
      </w:pPr>
      <w:bookmarkStart w:id="15" w:name="_Toc505152507"/>
      <w:r>
        <w:t xml:space="preserve">Campus concealed guns not justified:  Most </w:t>
      </w:r>
      <w:r w:rsidR="009B56A4">
        <w:t>mass shootings</w:t>
      </w:r>
      <w:r>
        <w:t xml:space="preserve"> DO NOT occur</w:t>
      </w:r>
      <w:r w:rsidR="009B56A4">
        <w:t xml:space="preserve"> in gun-free zones</w:t>
      </w:r>
      <w:bookmarkEnd w:id="15"/>
    </w:p>
    <w:p w14:paraId="7F4B7803" w14:textId="3B9876D0" w:rsidR="009B56A4" w:rsidRDefault="009B56A4" w:rsidP="009B56A4">
      <w:pPr>
        <w:pStyle w:val="Citation3"/>
      </w:pPr>
      <w:bookmarkStart w:id="16" w:name="_Toc505152980"/>
      <w:r w:rsidRPr="00F917CE">
        <w:rPr>
          <w:u w:val="single"/>
        </w:rPr>
        <w:t xml:space="preserve">Johns Hopkins </w:t>
      </w:r>
      <w:r w:rsidR="008B602C">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17" w:history="1">
        <w:r w:rsidRPr="00F276CE">
          <w:rPr>
            <w:rStyle w:val="Hyperlink"/>
          </w:rPr>
          <w:t>https://www.jhsph.edu/research/centers-and-institutes/johns-hopkins-center-for-gun-policy-and-research/_pdfs/GunsOnCampus.pdf</w:t>
        </w:r>
        <w:bookmarkEnd w:id="16"/>
      </w:hyperlink>
    </w:p>
    <w:p w14:paraId="0D48127D" w14:textId="4A9C7E1D" w:rsidR="009B56A4" w:rsidRDefault="009B56A4" w:rsidP="009B56A4">
      <w:pPr>
        <w:pStyle w:val="Evidence"/>
        <w:rPr>
          <w:u w:val="single"/>
        </w:rPr>
      </w:pPr>
      <w:r w:rsidRPr="00344D21">
        <w:t xml:space="preserve">As mass shootings and casualties from those shootings have risen sharply over the past decade, </w:t>
      </w:r>
      <w:r w:rsidRPr="008B602C">
        <w:rPr>
          <w:u w:val="single"/>
        </w:rPr>
        <w:t>one rationale for allowing more civilians to carry firearms, both on and off college campuses, is to avert rampage shootings or stop rampage shooters before additional victims are shot. Central to these arguments are the notions that “gun-free” zones attract individuals set on mass murder and that armed civilians frequently thwart or interrupt such shootings. New research on mass shootings involving six or more victims murdered that occurred in the United States from 1966 to through June 2016 contradicts these claims. Only 12% of these shootings took place, in whole or in part, in a truly gun-free zone</w:t>
      </w:r>
      <w:r w:rsidRPr="00344D21">
        <w:t xml:space="preserve"> (no armed security or police or armed civilians) </w:t>
      </w:r>
      <w:r w:rsidRPr="008B602C">
        <w:rPr>
          <w:u w:val="single"/>
        </w:rPr>
        <w:t>and 5% in a gun-restricting zone</w:t>
      </w:r>
      <w:r w:rsidRPr="00344D21">
        <w:t xml:space="preserve"> (civilian gun possession prohibited). </w:t>
      </w:r>
      <w:r w:rsidRPr="008B602C">
        <w:rPr>
          <w:u w:val="single"/>
        </w:rPr>
        <w:t xml:space="preserve">A separate study of mass shootings involving four or more fatalities, that included domestic incidents during 2009-2015, found that only 13% occurred in a gun-free or gun-restricting zone. </w:t>
      </w:r>
    </w:p>
    <w:p w14:paraId="53F28BB6" w14:textId="1E4825B5" w:rsidR="00992714" w:rsidRDefault="00992714" w:rsidP="00992714">
      <w:pPr>
        <w:pStyle w:val="Contention2"/>
      </w:pPr>
      <w:bookmarkStart w:id="17" w:name="_Toc505152508"/>
      <w:r>
        <w:lastRenderedPageBreak/>
        <w:t>“2</w:t>
      </w:r>
      <w:r w:rsidRPr="004022FA">
        <w:rPr>
          <w:vertAlign w:val="superscript"/>
        </w:rPr>
        <w:t>nd</w:t>
      </w:r>
      <w:r>
        <w:t xml:space="preserve"> Amendment right violated” RESPONSE: Justice Scalia disagrees, no 2</w:t>
      </w:r>
      <w:r w:rsidRPr="00992714">
        <w:rPr>
          <w:vertAlign w:val="superscript"/>
        </w:rPr>
        <w:t>nd</w:t>
      </w:r>
      <w:r>
        <w:t xml:space="preserve"> Amendment problem with restricting guns on government property</w:t>
      </w:r>
      <w:bookmarkEnd w:id="17"/>
      <w:r>
        <w:t xml:space="preserve"> </w:t>
      </w:r>
    </w:p>
    <w:p w14:paraId="1AE69DC3" w14:textId="35A2B1E4" w:rsidR="00992714" w:rsidRDefault="00992714" w:rsidP="00992714">
      <w:pPr>
        <w:pStyle w:val="Citation3"/>
      </w:pPr>
      <w:bookmarkStart w:id="18" w:name="_Toc505152981"/>
      <w:r>
        <w:rPr>
          <w:u w:val="single"/>
        </w:rPr>
        <w:t>Los Angeles Times</w:t>
      </w:r>
      <w:r w:rsidRPr="004022FA">
        <w:rPr>
          <w:u w:val="single"/>
        </w:rPr>
        <w:t>, 2017</w:t>
      </w:r>
      <w:r>
        <w:t>.  (LA TIMES</w:t>
      </w:r>
      <w:r w:rsidRPr="004022FA">
        <w:t xml:space="preserve"> editorial board, in consultation with the publisher, determines the editoria</w:t>
      </w:r>
      <w:r>
        <w:t>l positions of the organization) “</w:t>
      </w:r>
      <w:r w:rsidRPr="004022FA">
        <w:t>Editorial Allowing concealed weapons on college campuses is a silly, and dangerous, idea</w:t>
      </w:r>
      <w:r>
        <w:t xml:space="preserve">” January 17, 2017.  </w:t>
      </w:r>
      <w:hyperlink r:id="rId18" w:anchor="ampshare=http://www.latimes.com/opinion/editorials/la-ed-colleges-concealed-weapons-nra-20170110-story.html" w:history="1">
        <w:r w:rsidRPr="008339B9">
          <w:rPr>
            <w:rStyle w:val="Hyperlink"/>
          </w:rPr>
          <w:t>http://www.latimes.com/opinion/editorials/la-ed-colleges-concealed-weapons-nra-20170110-story.html#ampshare=http://www.latimes.com/opinion/editorials/la-ed-colleges-concealed-weapons-nra-20170110-story.html</w:t>
        </w:r>
        <w:bookmarkEnd w:id="18"/>
      </w:hyperlink>
    </w:p>
    <w:p w14:paraId="1C3EF0BF" w14:textId="77777777" w:rsidR="00992714" w:rsidRPr="00847135" w:rsidRDefault="00992714" w:rsidP="00992714">
      <w:pPr>
        <w:pStyle w:val="Evidence"/>
      </w:pPr>
      <w:r w:rsidRPr="004022FA">
        <w:t>It is the presence of firearms that makes violent encounters more likely to become deadly encounters. So why would anyone think it’s a good idea to add concealed firearms to college campuses? In its 2008 Heller decision, in which the Supreme Court for the first time recognized a 2nd Amendment right to possess a firearm in the home for self-defense, Justice Antonin Scalia wrote that the decision “should not be taken to cast doubt on … laws forbidding the carrying of firearms in sensitive places such as schools and government buildings.” States should recognize the unique nature of college campuses and keep the guns out.</w:t>
      </w:r>
    </w:p>
    <w:p w14:paraId="4CAA941D" w14:textId="47010476" w:rsidR="008B602C" w:rsidRDefault="008B602C" w:rsidP="008B602C">
      <w:pPr>
        <w:pStyle w:val="Contention1"/>
      </w:pPr>
      <w:bookmarkStart w:id="19" w:name="_Toc505152509"/>
      <w:r>
        <w:t>SOLVENCY</w:t>
      </w:r>
      <w:bookmarkEnd w:id="19"/>
    </w:p>
    <w:p w14:paraId="6A644A42" w14:textId="77777777" w:rsidR="009A2DD0" w:rsidRDefault="009A2DD0" w:rsidP="009A2DD0">
      <w:pPr>
        <w:pStyle w:val="Contention2"/>
      </w:pPr>
      <w:bookmarkStart w:id="20" w:name="_Toc505152510"/>
      <w:r>
        <w:t>“Gun holders could intervene in attack” RESPONSE: Not trained</w:t>
      </w:r>
      <w:bookmarkEnd w:id="20"/>
    </w:p>
    <w:p w14:paraId="2481A822" w14:textId="7E044A13" w:rsidR="009A2DD0" w:rsidRDefault="008B602C" w:rsidP="009A2DD0">
      <w:pPr>
        <w:pStyle w:val="Citation3"/>
      </w:pPr>
      <w:bookmarkStart w:id="21" w:name="_Toc505152982"/>
      <w:r>
        <w:rPr>
          <w:u w:val="single"/>
        </w:rPr>
        <w:t xml:space="preserve">Prof. </w:t>
      </w:r>
      <w:r w:rsidR="009A2DD0" w:rsidRPr="00A623F0">
        <w:rPr>
          <w:u w:val="single"/>
        </w:rPr>
        <w:t>Nate Kreuter, 2016.</w:t>
      </w:r>
      <w:r w:rsidR="009A2DD0">
        <w:t xml:space="preserve"> (</w:t>
      </w:r>
      <w:r w:rsidR="009A2DD0" w:rsidRPr="00A623F0">
        <w:t>assistant professor in the English department at Western Carolina University, where he teaches writing and rhetoric.</w:t>
      </w:r>
      <w:r w:rsidR="009A2DD0">
        <w:t>)</w:t>
      </w:r>
      <w:r w:rsidR="009A2DD0" w:rsidRPr="00A623F0">
        <w:t xml:space="preserve"> </w:t>
      </w:r>
      <w:r w:rsidR="009A2DD0">
        <w:t>“</w:t>
      </w:r>
      <w:r w:rsidR="009A2DD0" w:rsidRPr="00A623F0">
        <w:t>Concealed in Our Classrooms</w:t>
      </w:r>
      <w:r w:rsidR="009A2DD0">
        <w:t xml:space="preserve">” April 12, 2016. </w:t>
      </w:r>
      <w:hyperlink r:id="rId19" w:history="1">
        <w:r w:rsidR="00834704" w:rsidRPr="00AB55EE">
          <w:rPr>
            <w:rStyle w:val="Hyperlink"/>
          </w:rPr>
          <w:t>https://www.insidehighered.com/views/2016/04/12/key-arguments-concealed-carry-campuses-dont-hold-essay</w:t>
        </w:r>
        <w:bookmarkEnd w:id="21"/>
      </w:hyperlink>
      <w:r w:rsidR="00834704">
        <w:t xml:space="preserve"> </w:t>
      </w:r>
    </w:p>
    <w:p w14:paraId="1D1BF83F" w14:textId="77777777" w:rsidR="009A2DD0" w:rsidRDefault="009A2DD0" w:rsidP="009A2DD0">
      <w:pPr>
        <w:pStyle w:val="Evidence"/>
      </w:pPr>
      <w:r w:rsidRPr="00A623F0">
        <w:t>The Intervention Argument</w:t>
      </w:r>
      <w:r w:rsidRPr="00A623F0">
        <w:rPr>
          <w:u w:val="single"/>
        </w:rPr>
        <w:t>. Advocates of on-campus concealed carry also argue that when a shooting does commence, law-abiding concealed-weapon carriers will be able to intervene and therefore cut short the time and scope of the attacker’s rampage. The biggest hole in this argument is that permit holders of concealed weapons by and large are not trained for how to respond to active-shooter situations. Certainly some concealed-weapons carriers have a military or law-enforcement background wherein they did receive such training, but they are a slim minority. Concealed-carry classes do not train permit holders how to respond to hostile fire or active-shooter situations. Instead, such classes, which can be completed in a single day in most states, are concerned with educating students about the laws governing their concealed-carry permits, about basic gun safety principles and basic gun use. In other words, the highly difficult active-shooter response training, which military and law-enforcement personnel spend dozens upon dozens of hours practicing in simulated environments, is simply not a part of concealed-permit class curricula. Having a concealed permit tells us nothing of whether or not the permit holder is competent to respond to an active shooter.</w:t>
      </w:r>
      <w:r w:rsidRPr="00A623F0">
        <w:t xml:space="preserve"> Indeed, during the recent attack at Umpqua Community College, a military veteran carrying a legally concealed weapon made the prudent decision not to attempt to intervene, citing concern about interfering with the police response or being mistaken for the murderer.</w:t>
      </w:r>
    </w:p>
    <w:p w14:paraId="3B3B9140" w14:textId="77777777" w:rsidR="009B56A4" w:rsidRDefault="009B56A4" w:rsidP="009B56A4">
      <w:pPr>
        <w:pStyle w:val="Contention2"/>
      </w:pPr>
      <w:bookmarkStart w:id="22" w:name="_Toc505152511"/>
      <w:r>
        <w:lastRenderedPageBreak/>
        <w:t>Civilian gun success as likely as being shot.</w:t>
      </w:r>
      <w:bookmarkEnd w:id="22"/>
      <w:r>
        <w:t xml:space="preserve"> </w:t>
      </w:r>
    </w:p>
    <w:p w14:paraId="77401F49" w14:textId="77777777" w:rsidR="009B56A4" w:rsidRDefault="009B56A4" w:rsidP="009B56A4">
      <w:pPr>
        <w:pStyle w:val="Citation3"/>
      </w:pPr>
      <w:bookmarkStart w:id="23" w:name="_Hlk501723159"/>
      <w:bookmarkStart w:id="24" w:name="_Toc505152983"/>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0" w:history="1">
        <w:r w:rsidRPr="00F276CE">
          <w:rPr>
            <w:rStyle w:val="Hyperlink"/>
          </w:rPr>
          <w:t>https://www.jhsph.edu/research/centers-and-institutes/johns-hopkins-center-for-gun-policy-and-research/_pdfs/GunsOnCampus.pdf</w:t>
        </w:r>
        <w:bookmarkEnd w:id="24"/>
      </w:hyperlink>
    </w:p>
    <w:p w14:paraId="71FD27F5" w14:textId="77777777" w:rsidR="009B56A4" w:rsidRDefault="009B56A4" w:rsidP="009B56A4">
      <w:pPr>
        <w:pStyle w:val="Evidence"/>
      </w:pPr>
      <w:r w:rsidRPr="005B0295">
        <w:rPr>
          <w:u w:val="single"/>
        </w:rPr>
        <w:t>As mass shootings and casualties from those shootings have risen sharply over the past decade, one rationale for allowing more civilians to carry firearms, both on and off college campuses, is to avert rampage shootings or stop rampage shooters before additional victims are shot. Central to these arguments are the notions that “gun-free” zones attract individuals set on mass murder and that armed civilians frequently thwart or interrupt such shootings.</w:t>
      </w:r>
      <w:r w:rsidRPr="000240DD">
        <w:t xml:space="preserve"> New research on mass shootings involving six or more victims murdered that occurred in the United States from 1966 to through June 2016 contradicts these claims. Only 12% of these shootings took place, in whole or in part, in a truly gun-free zone (no armed security or police or armed civilians) and 5% in a gun-restricting zone (civilian gun possession prohibited). A separate study of mass shootings involving four or more fatalities, that included domestic incidents during 2009-2015, found that only 13% occurred in a gun-free or gun-restricting zone. </w:t>
      </w:r>
      <w:r w:rsidRPr="005B0295">
        <w:rPr>
          <w:u w:val="single"/>
        </w:rPr>
        <w:t>Successful civilian uses of guns to stop a mass shooting were incredibly rare and about as common as armed civilians being shot while attempting to respond to mass shooting incidents.</w:t>
      </w:r>
      <w:r w:rsidRPr="000240DD">
        <w:t xml:space="preserve"> Furthermore, the data show no evidence that RTC laws – which, it is argued, lead to more armed citizens ready to defend against a mass shooting – reduce mass shootings or the number of people shot in those incidents. </w:t>
      </w:r>
    </w:p>
    <w:p w14:paraId="6B227D07" w14:textId="77777777" w:rsidR="00A623F0" w:rsidRDefault="00A623F0" w:rsidP="00A623F0">
      <w:pPr>
        <w:pStyle w:val="Contention2"/>
      </w:pPr>
      <w:bookmarkStart w:id="25" w:name="_Toc505152512"/>
      <w:bookmarkEnd w:id="23"/>
      <w:r>
        <w:t>Odds of guns stopping shooter small</w:t>
      </w:r>
      <w:bookmarkEnd w:id="25"/>
    </w:p>
    <w:p w14:paraId="25236D5B" w14:textId="478DC9FA" w:rsidR="00A623F0" w:rsidRDefault="00A623F0" w:rsidP="00A623F0">
      <w:pPr>
        <w:pStyle w:val="Citation3"/>
      </w:pPr>
      <w:bookmarkStart w:id="26" w:name="_Toc505152984"/>
      <w:r w:rsidRPr="00A623F0">
        <w:rPr>
          <w:u w:val="single"/>
        </w:rPr>
        <w:t>The Editorial Board, USA TODAY, 2015</w:t>
      </w:r>
      <w:r>
        <w:t>. (</w:t>
      </w:r>
      <w:r w:rsidRPr="00A623F0">
        <w:t>USA TODAY's editorial opinions are decided by its Editorial Board, separate from the news staff. Most editorials are coupled with an opposing view — a unique USA TODAY feature.</w:t>
      </w:r>
      <w:r>
        <w:t>)</w:t>
      </w:r>
      <w:r w:rsidRPr="00A623F0">
        <w:t xml:space="preserve"> </w:t>
      </w:r>
      <w:r>
        <w:t>“</w:t>
      </w:r>
      <w:r w:rsidRPr="00A623F0">
        <w:t>Campus-carry gun laws won't make colleges safer: Our view</w:t>
      </w:r>
      <w:r>
        <w:t xml:space="preserve">” </w:t>
      </w:r>
      <w:r w:rsidRPr="00A623F0">
        <w:t>June 8, 2015</w:t>
      </w:r>
      <w:r>
        <w:t xml:space="preserve">. </w:t>
      </w:r>
      <w:hyperlink r:id="rId21" w:history="1">
        <w:r w:rsidR="00834704" w:rsidRPr="00AB55EE">
          <w:rPr>
            <w:rStyle w:val="Hyperlink"/>
          </w:rPr>
          <w:t>https://www.usatoday.com/story/opinion/2015/06/08/guns-handguns-concealed-carry-college-campus-texas-legislature-editorials-debates/28688893/#ampshare=https://www.usatoday.com/story/opinion/2015/06/08/guns-handguns-concealed-carry-college-campus-texas-legislature-editorials-debates/28688893/</w:t>
        </w:r>
        <w:bookmarkEnd w:id="26"/>
      </w:hyperlink>
      <w:r w:rsidR="00834704">
        <w:t xml:space="preserve"> </w:t>
      </w:r>
    </w:p>
    <w:p w14:paraId="5B27009E" w14:textId="77777777" w:rsidR="00A623F0" w:rsidRDefault="00A623F0" w:rsidP="00A623F0">
      <w:pPr>
        <w:pStyle w:val="Evidence"/>
      </w:pPr>
      <w:r w:rsidRPr="004022FA">
        <w:t>The debate over guns on campus isn't about whether a capable person with a weapon might be able to stop a senseless tragedy. Yes, it's conceivable that a student or teacher with a firearm might have prevented deranged student Seung Hui Cho from killing 32 people and wounding 17 at Virginia Tech in 2007.</w:t>
      </w:r>
      <w:r>
        <w:t xml:space="preserve"> </w:t>
      </w:r>
      <w:r w:rsidRPr="004022FA">
        <w:t>But it's a question of trade-offs. The odds are small that a capable, cool-headed person with a gun would be at the scene of a shooting, or be able to react quickly enough to stop it. Jared Loughner, the deeply disturbed student who shot Arizona congresswoman Gabby Giffords and killed six people in Tucson in 2011, fired 32 shots in 15 seconds. And after unarmed people knocked the shooter down and took his gun, a man with a concealed weapon almost shot one of the good Samaritans.</w:t>
      </w:r>
    </w:p>
    <w:p w14:paraId="386FA41D" w14:textId="77777777" w:rsidR="008B602C" w:rsidRDefault="008B602C" w:rsidP="008B602C">
      <w:pPr>
        <w:pStyle w:val="Contention2"/>
      </w:pPr>
      <w:bookmarkStart w:id="27" w:name="_Toc505152513"/>
      <w:r>
        <w:lastRenderedPageBreak/>
        <w:t>“Lott: RTC laws reduced mass shootings and death” RESPONSE: False. Independent researchers found no association</w:t>
      </w:r>
      <w:bookmarkEnd w:id="27"/>
      <w:r>
        <w:t xml:space="preserve">  </w:t>
      </w:r>
    </w:p>
    <w:p w14:paraId="2DF7BB96" w14:textId="77777777" w:rsidR="008B602C" w:rsidRDefault="008B602C" w:rsidP="008B602C">
      <w:pPr>
        <w:pStyle w:val="Citation3"/>
      </w:pPr>
      <w:bookmarkStart w:id="28" w:name="_Toc505152985"/>
      <w:r w:rsidRPr="00F917CE">
        <w:rPr>
          <w:u w:val="single"/>
        </w:rPr>
        <w:t xml:space="preserve">Johns Hopkins </w:t>
      </w:r>
      <w:r>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2" w:history="1">
        <w:r w:rsidRPr="00F276CE">
          <w:rPr>
            <w:rStyle w:val="Hyperlink"/>
          </w:rPr>
          <w:t>https://www.jhsph.edu/research/centers-and-institutes/johns-hopkins-center-for-gun-policy-and-research/_pdfs/GunsOnCampus.pdf</w:t>
        </w:r>
        <w:bookmarkEnd w:id="28"/>
      </w:hyperlink>
    </w:p>
    <w:p w14:paraId="13E4352C" w14:textId="77777777" w:rsidR="008B602C" w:rsidRDefault="008B602C" w:rsidP="008B602C">
      <w:pPr>
        <w:pStyle w:val="Evidence"/>
      </w:pPr>
      <w:r w:rsidRPr="008B602C">
        <w:t xml:space="preserve">In the 2nd edition of More Guns, Less Crime, Lott reported to have assembled a dataset of all mass shootings in the United States from 1977 to 1997. He found that the adoption of RTC laws was associated with a 67% reduction in mass shootings, completely eliminating mass shootings within five years of enactment. He also claimed RTC laws led to a 75% reduction in deaths from such shootings and an 81% reduction in persons injured in these shootings. However, an independent team of researchers tried to reproduce Lott’s findings on RTC laws and mass shootings, and found no association between such laws and such shootings. </w:t>
      </w:r>
    </w:p>
    <w:p w14:paraId="020D0708" w14:textId="77777777" w:rsidR="008B602C" w:rsidRPr="008D4989" w:rsidRDefault="008B602C" w:rsidP="008B602C">
      <w:pPr>
        <w:pStyle w:val="Contention2"/>
      </w:pPr>
      <w:bookmarkStart w:id="29" w:name="_Toc505152514"/>
      <w:r>
        <w:t>Guns don’t prevent injury to victim</w:t>
      </w:r>
      <w:bookmarkEnd w:id="29"/>
      <w:r>
        <w:t xml:space="preserve">  </w:t>
      </w:r>
    </w:p>
    <w:p w14:paraId="48D369F7" w14:textId="3D8F4288" w:rsidR="008B602C" w:rsidRDefault="008B602C" w:rsidP="008B602C">
      <w:pPr>
        <w:pStyle w:val="Citation3"/>
      </w:pPr>
      <w:bookmarkStart w:id="30" w:name="_Toc505152986"/>
      <w:r w:rsidRPr="00F917CE">
        <w:rPr>
          <w:u w:val="single"/>
        </w:rPr>
        <w:t>Johns Hopkins</w:t>
      </w:r>
      <w:r w:rsidR="00992714">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3" w:history="1">
        <w:r w:rsidRPr="00F276CE">
          <w:rPr>
            <w:rStyle w:val="Hyperlink"/>
          </w:rPr>
          <w:t>https://www.jhsph.edu/research/centers-and-institutes/johns-hopkins-center-for-gun-policy-and-research/_pdfs/GunsOnCampus.pdf</w:t>
        </w:r>
        <w:bookmarkEnd w:id="30"/>
      </w:hyperlink>
    </w:p>
    <w:p w14:paraId="7194FB14" w14:textId="77777777" w:rsidR="008B602C" w:rsidRDefault="008B602C" w:rsidP="008B602C">
      <w:pPr>
        <w:pStyle w:val="Evidence"/>
      </w:pPr>
      <w:r w:rsidRPr="00992714">
        <w:rPr>
          <w:u w:val="single"/>
        </w:rPr>
        <w:t>In this study, Hemenway and Solnick also examined victims’ risk of being injured after taking any of thirteen specific actions</w:t>
      </w:r>
      <w:r w:rsidRPr="000240DD">
        <w:t xml:space="preserve"> volunteered by NCVS respondents when asked what they did or tried to do about the incident while it was going on. </w:t>
      </w:r>
      <w:r w:rsidRPr="00992714">
        <w:rPr>
          <w:u w:val="single"/>
        </w:rPr>
        <w:t>Four percent</w:t>
      </w:r>
      <w:r w:rsidRPr="000240DD">
        <w:t xml:space="preserve"> of those who reported a SDGU </w:t>
      </w:r>
      <w:r w:rsidRPr="00992714">
        <w:rPr>
          <w:u w:val="single"/>
        </w:rPr>
        <w:t>reported being injured after attempting to protect themselves with a gun; a virtually identical odds of injury among all victims who took any act of self-protection</w:t>
      </w:r>
      <w:r w:rsidRPr="000240DD">
        <w:t xml:space="preserve">. After controlling for a host of contextual factors, </w:t>
      </w:r>
      <w:r w:rsidRPr="00992714">
        <w:rPr>
          <w:u w:val="single"/>
        </w:rPr>
        <w:t>self defensive gun use did not significantly affect victims’ risk of being injured in the criminal act. Most victims who are injured in crimes are injured before they can take any protective action</w:t>
      </w:r>
      <w:r w:rsidRPr="000240DD">
        <w:t xml:space="preserve">. Prior studies suggesting SDGU reduces victims’ injury risk used NCVS data that did not distinguish victim injuries that occurred before versus after protective actions such as SDGU took place and, thus, could not ascertain causal connections </w:t>
      </w:r>
      <w:r>
        <w:t xml:space="preserve">between SDGU and injury risks. </w:t>
      </w:r>
    </w:p>
    <w:p w14:paraId="34D89DFF" w14:textId="77BB148A" w:rsidR="008B602C" w:rsidRDefault="00992714" w:rsidP="008B602C">
      <w:pPr>
        <w:pStyle w:val="Contention2"/>
      </w:pPr>
      <w:bookmarkStart w:id="31" w:name="_Toc505152515"/>
      <w:r>
        <w:t>Campus guns are</w:t>
      </w:r>
      <w:r w:rsidR="008B602C">
        <w:t xml:space="preserve"> unlikely to reduce mass shootings or casualties </w:t>
      </w:r>
      <w:r w:rsidR="001038BC">
        <w:t>– more likely to REDUCE safety</w:t>
      </w:r>
      <w:bookmarkEnd w:id="31"/>
    </w:p>
    <w:p w14:paraId="7531FE46" w14:textId="77777777" w:rsidR="008B602C" w:rsidRDefault="008B602C" w:rsidP="008B602C">
      <w:pPr>
        <w:pStyle w:val="Citation3"/>
      </w:pPr>
      <w:bookmarkStart w:id="32" w:name="_Toc505152987"/>
      <w:r w:rsidRPr="00F917CE">
        <w:rPr>
          <w:u w:val="single"/>
        </w:rPr>
        <w:t xml:space="preserve">Johns Hopkins </w:t>
      </w:r>
      <w:r>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4" w:history="1">
        <w:r w:rsidRPr="00F276CE">
          <w:rPr>
            <w:rStyle w:val="Hyperlink"/>
          </w:rPr>
          <w:t>https://www.jhsph.edu/research/centers-and-institutes/johns-hopkins-center-for-gun-policy-and-research/_pdfs/GunsOnCampus.pdf</w:t>
        </w:r>
        <w:bookmarkEnd w:id="32"/>
      </w:hyperlink>
    </w:p>
    <w:p w14:paraId="19F4BDF1" w14:textId="77777777" w:rsidR="008B602C" w:rsidRDefault="008B602C" w:rsidP="008B602C">
      <w:pPr>
        <w:pStyle w:val="Evidence"/>
      </w:pPr>
      <w:r w:rsidRPr="000240DD">
        <w:t>In summary, available data indicate that policies that allow individuals to bring firearms onto college campuses are unlikely to lead to fewer mass shootings or fewer casualties from those shootings. Mass shootings are a growing concern, but are still very rare events. Increasing gun availability in campus environments could make far more common acts of aggression, recklessness, or self-harm more deadly and, thus, have a deleterious impact on the safety of students, faculty, and staff.</w:t>
      </w:r>
    </w:p>
    <w:p w14:paraId="5D27796D" w14:textId="77777777" w:rsidR="008B602C" w:rsidRDefault="008B602C" w:rsidP="008B602C">
      <w:pPr>
        <w:pStyle w:val="Contention2"/>
      </w:pPr>
      <w:bookmarkStart w:id="33" w:name="_Toc505152516"/>
      <w:r>
        <w:lastRenderedPageBreak/>
        <w:t>No evidence RTC (Right To Carry) laws reduce mass shootings or death.</w:t>
      </w:r>
      <w:bookmarkEnd w:id="33"/>
      <w:r>
        <w:t xml:space="preserve"> </w:t>
      </w:r>
    </w:p>
    <w:p w14:paraId="4E6A3140" w14:textId="77777777" w:rsidR="008B602C" w:rsidRDefault="008B602C" w:rsidP="008B602C">
      <w:pPr>
        <w:pStyle w:val="Citation3"/>
      </w:pPr>
      <w:bookmarkStart w:id="34" w:name="_Toc505152988"/>
      <w:r w:rsidRPr="00F917CE">
        <w:rPr>
          <w:u w:val="single"/>
        </w:rPr>
        <w:t xml:space="preserve">Johns Hopkins </w:t>
      </w:r>
      <w:r>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5" w:history="1">
        <w:r w:rsidRPr="00F276CE">
          <w:rPr>
            <w:rStyle w:val="Hyperlink"/>
          </w:rPr>
          <w:t>https://www.jhsph.edu/research/centers-and-institutes/johns-hopkins-center-for-gun-policy-and-research/_pdfs/GunsOnCampus.pdf</w:t>
        </w:r>
        <w:bookmarkEnd w:id="34"/>
      </w:hyperlink>
    </w:p>
    <w:p w14:paraId="5AF0383E" w14:textId="77777777" w:rsidR="008B602C" w:rsidRDefault="008B602C" w:rsidP="008B602C">
      <w:pPr>
        <w:pStyle w:val="Evidence"/>
        <w:rPr>
          <w:u w:val="single"/>
        </w:rPr>
      </w:pPr>
      <w:r w:rsidRPr="005B0295">
        <w:rPr>
          <w:u w:val="single"/>
        </w:rPr>
        <w:t>As mass shootings and casualties from those shootings have risen sharply over the past decade, one rationale for allowing more civilians to carry firearms, both on and off college campuses, is to avert rampage shootings or stop rampage shooters before additional victims are shot. Central to these arguments are the notions that “gun-free” zones attract individuals set on mass murder and that armed civilians frequently thwart or interrupt such shootings.</w:t>
      </w:r>
      <w:r w:rsidRPr="005B0295">
        <w:t xml:space="preserve"> New research on mass shootings involving six or more victims murdered that occurred in the United States from 1966 to through June 2016 contradicts these claims. Only 12% of these shootings took place, in whole or in part, in a truly gun-free zone (no armed security or police or armed civilians) and 5% in a gun-restricting zone (civilian gun possession prohibited). A separate study of mass shootings involving four or more fatalities, that included domestic incidents during 2009-2015, found that only 13% occurred in a gun-free or gun-restricting zone. Successful civilian uses of guns to stop a mass shooting were incredibly rare and about as common as armed civilians being shot while attempting to respond to mass shooting incidents. Furthermore, </w:t>
      </w:r>
      <w:r w:rsidRPr="005B0295">
        <w:rPr>
          <w:u w:val="single"/>
        </w:rPr>
        <w:t xml:space="preserve">the data show no evidence that RTC laws – which, it is argued, lead to more armed citizens ready to defend against a mass shooting – reduce mass shootings or the number of people shot in those incidents. </w:t>
      </w:r>
    </w:p>
    <w:p w14:paraId="1507E0A4" w14:textId="5ECDAF1E" w:rsidR="009A2DD0" w:rsidRDefault="009A2DD0" w:rsidP="00B73CA9">
      <w:pPr>
        <w:pStyle w:val="Contention2"/>
      </w:pPr>
      <w:bookmarkStart w:id="35" w:name="_Toc505152517"/>
      <w:r>
        <w:t>“Armed citizens will fight back” RESPONSE: Illogical.</w:t>
      </w:r>
      <w:r w:rsidR="00B73CA9">
        <w:t xml:space="preserve"> </w:t>
      </w:r>
      <w:r>
        <w:t>Even officers are inaccurate in crisis situations, there’s no way a minimally-trained civilian would be ready.</w:t>
      </w:r>
      <w:bookmarkEnd w:id="35"/>
      <w:r>
        <w:t xml:space="preserve"> </w:t>
      </w:r>
    </w:p>
    <w:p w14:paraId="6A419DD6" w14:textId="69095491" w:rsidR="009A2DD0" w:rsidRDefault="009A2DD0" w:rsidP="009A2DD0">
      <w:pPr>
        <w:pStyle w:val="Citation3"/>
      </w:pPr>
      <w:bookmarkStart w:id="36" w:name="_Toc505152989"/>
      <w:r w:rsidRPr="00F917CE">
        <w:rPr>
          <w:u w:val="single"/>
        </w:rPr>
        <w:t xml:space="preserve">Johns Hopkins </w:t>
      </w:r>
      <w:r w:rsidR="00B73CA9">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6" w:history="1">
        <w:r w:rsidRPr="00F276CE">
          <w:rPr>
            <w:rStyle w:val="Hyperlink"/>
          </w:rPr>
          <w:t>https://www.jhsph.edu/research/centers-and-institutes/johns-hopkins-center-for-gun-policy-and-research/_pdfs/GunsOnCampus.pdf</w:t>
        </w:r>
        <w:bookmarkEnd w:id="36"/>
      </w:hyperlink>
    </w:p>
    <w:p w14:paraId="725105AA" w14:textId="7374B196" w:rsidR="009A2DD0" w:rsidRDefault="009A2DD0" w:rsidP="009A2DD0">
      <w:pPr>
        <w:pStyle w:val="Evidence"/>
      </w:pPr>
      <w:r w:rsidRPr="00992714">
        <w:rPr>
          <w:u w:val="single"/>
        </w:rPr>
        <w:t>There is an unsupported assumption of campus carry advocates that armed students or staff on campus will shoot accurately enough to stop the shooter in an active shooting incident without wounding or killing innocent victims. Shooting accurately and making appropriate judgments about when and how to shoot in chaotic, high-stress situations requires a high level of familiarity with tactics and the ability to manage stress under intense pressure</w:t>
      </w:r>
      <w:r w:rsidRPr="000240DD">
        <w:t>. Shooting accuracy in such situations is influenced by distance, the opponent shooter’s actions, lighting, use of</w:t>
      </w:r>
      <w:r>
        <w:t xml:space="preserve"> cover, type of gun, and more.</w:t>
      </w:r>
      <w:r w:rsidRPr="000240DD">
        <w:t xml:space="preserve"> Ability to shoot accurately are also affected by heart rate, breathing, fatigue, and mental stress.</w:t>
      </w:r>
      <w:r w:rsidRPr="000240DD">
        <w:rPr>
          <w:rFonts w:ascii="Calibri" w:eastAsia="MS Mincho" w:hAnsi="Calibri"/>
          <w:bCs w:val="0"/>
          <w:color w:val="auto"/>
          <w:sz w:val="22"/>
          <w:szCs w:val="22"/>
          <w:lang w:eastAsia="en-US"/>
        </w:rPr>
        <w:t xml:space="preserve"> </w:t>
      </w:r>
      <w:r w:rsidRPr="00992714">
        <w:rPr>
          <w:u w:val="single"/>
        </w:rPr>
        <w:t>Effective and responsible use of a firearm under the conditions of an active shooting requires significant training.</w:t>
      </w:r>
      <w:r w:rsidRPr="000240DD">
        <w:t xml:space="preserve"> Yet most RTC laws require only that carry permit holders have weapon familiarity, perform basic range shooting and, in some cases, minimal crisis-shooting training to qualify to legally carry a gun. Of course, there are no training or performance requirements in states that do not require civilians to obtain a permit to carry concealed firearms. </w:t>
      </w:r>
      <w:r w:rsidRPr="00992714">
        <w:rPr>
          <w:u w:val="single"/>
        </w:rPr>
        <w:t>There is well-documented research citing the inaccuracy of police officers who use firearms in crisis encounters, although they receive extensive training and readiness preparation.  There is no reason to believe that college students, faculty and civilian staff will shoot accurately in active shooter situations when they have only passed minimal training requirements for a permit to carry</w:t>
      </w:r>
      <w:r w:rsidRPr="000240DD">
        <w:t xml:space="preserve">. </w:t>
      </w:r>
    </w:p>
    <w:p w14:paraId="29532C51" w14:textId="0B811E51" w:rsidR="009A2DD0" w:rsidRPr="008D4989" w:rsidRDefault="009A2DD0" w:rsidP="009A2DD0">
      <w:pPr>
        <w:pStyle w:val="Contention2"/>
      </w:pPr>
      <w:bookmarkStart w:id="37" w:name="_Toc505152518"/>
      <w:r>
        <w:lastRenderedPageBreak/>
        <w:t xml:space="preserve">“Armed citizens </w:t>
      </w:r>
      <w:r w:rsidR="00992714">
        <w:t>have stopped</w:t>
      </w:r>
      <w:r>
        <w:t xml:space="preserve"> shootings” RESPONSE: Extremely rare</w:t>
      </w:r>
      <w:r w:rsidR="00992714">
        <w:t xml:space="preserve"> and the details of the scenarios don't actually support the claims</w:t>
      </w:r>
      <w:bookmarkEnd w:id="37"/>
    </w:p>
    <w:p w14:paraId="76D7E615" w14:textId="77777777" w:rsidR="009A2DD0" w:rsidRDefault="009A2DD0" w:rsidP="009A2DD0">
      <w:pPr>
        <w:pStyle w:val="Citation3"/>
      </w:pPr>
      <w:bookmarkStart w:id="38" w:name="_Toc505152990"/>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7" w:history="1">
        <w:r w:rsidRPr="00F276CE">
          <w:rPr>
            <w:rStyle w:val="Hyperlink"/>
          </w:rPr>
          <w:t>https://www.jhsph.edu/research/centers-and-institutes/johns-hopkins-center-for-gun-policy-and-research/_pdfs/GunsOnCampus.pdf</w:t>
        </w:r>
        <w:bookmarkEnd w:id="38"/>
      </w:hyperlink>
    </w:p>
    <w:p w14:paraId="53A2987B" w14:textId="2ECBAAFA" w:rsidR="009A2DD0" w:rsidRDefault="009A2DD0" w:rsidP="009A2DD0">
      <w:pPr>
        <w:pStyle w:val="Evidence"/>
      </w:pPr>
      <w:r w:rsidRPr="000240DD">
        <w:t>When Klarevas scrutinized the specific instances where armed civilians purportedly intervened to end a mass shooting in progress, he found that, in reality, rarely did private citizens with personal guns stop rampages. Of the 39 incidents, the majority—22 incidents—did not involve mass-shooting scenarios. Instead, they were knife attacks, gunbrandishing episodes where the weapon was never fired, armed robberies where the criminals never tried to execute the customers present, and shootings that did not involve enough targeted victims to constitute a mass shooting. Seventeen of the 39 were actual mass-shooting situations. Out of this subset, the armed intervenor in six of these incidents was a law enforcement officer or armed security guard (not a private citizen). In two cases, armed civilians drew their weapons and helped detain the perpetrators, but only after the shootings had concluded. (Neither defender in these two incidents actually used his weapon to end the rampage.) In five shootings, the attempted defensive gun uses failed to stop the attacks, with the armed intervenors shot in thre</w:t>
      </w:r>
      <w:r>
        <w:t>e of these instances.</w:t>
      </w:r>
      <w:r w:rsidRPr="000240DD">
        <w:t xml:space="preserve"> Over a 26- year period, only four incidents that were actual rampage shootings in progress were terminated by the actions of an armed civilian.</w:t>
      </w:r>
    </w:p>
    <w:p w14:paraId="1FC09368" w14:textId="77777777" w:rsidR="009A2DD0" w:rsidRDefault="009A2DD0" w:rsidP="009A2DD0">
      <w:pPr>
        <w:pStyle w:val="Contention2"/>
      </w:pPr>
      <w:bookmarkStart w:id="39" w:name="_Toc505152519"/>
      <w:r>
        <w:t>FBI data: only 1 armed civilian stopped an ongoing shooting</w:t>
      </w:r>
      <w:bookmarkEnd w:id="39"/>
      <w:r>
        <w:t xml:space="preserve"> </w:t>
      </w:r>
    </w:p>
    <w:p w14:paraId="39E3C5C3" w14:textId="77777777" w:rsidR="009A2DD0" w:rsidRDefault="009A2DD0" w:rsidP="009A2DD0">
      <w:pPr>
        <w:pStyle w:val="Citation3"/>
      </w:pPr>
      <w:bookmarkStart w:id="40" w:name="_Toc505152991"/>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8" w:history="1">
        <w:r w:rsidRPr="00F276CE">
          <w:rPr>
            <w:rStyle w:val="Hyperlink"/>
          </w:rPr>
          <w:t>https://www.jhsph.edu/research/centers-and-institutes/johns-hopkins-center-for-gun-policy-and-research/_pdfs/GunsOnCampus.pdf</w:t>
        </w:r>
        <w:bookmarkEnd w:id="40"/>
      </w:hyperlink>
    </w:p>
    <w:p w14:paraId="7226A087" w14:textId="77777777" w:rsidR="009A2DD0" w:rsidRDefault="009A2DD0" w:rsidP="009A2DD0">
      <w:pPr>
        <w:pStyle w:val="Evidence"/>
      </w:pPr>
      <w:r w:rsidRPr="008D4989">
        <w:rPr>
          <w:u w:val="single"/>
        </w:rPr>
        <w:t>An FBI study that examined 160 active shootings in the United States during 2000-2013 also provides reason to be suspect of claims that civilian defensive gun uses figure prominently in terminating ongoing gun rampages. FBI researchers found only one incident that involved an armed civilian intervening to end an attack in progress. The civilian in that incident (which is also one of the interventions cited by Klarevas) involved a U.S. Marine with a concealed-firearms license shooting a man attacking patrons in a Nevada bar. In another four incidents, the attacks were brought to an end when armed security guards shot the perpetrators.</w:t>
      </w:r>
      <w:r w:rsidRPr="000240DD">
        <w:t xml:space="preserve"> By contrast, the FBI found that 21 of the 160 active shooting incidents were interrupted when unarmed civilians confronted and restrained the gunmen. The FBI’s data suggest that unarmed civilians are more than twenty times likely to successfully end an active sho</w:t>
      </w:r>
      <w:r>
        <w:t>oting than are armed civilians.</w:t>
      </w:r>
    </w:p>
    <w:p w14:paraId="30B599AF" w14:textId="75A4B40E" w:rsidR="00344D21" w:rsidRDefault="00344D21" w:rsidP="00344D21">
      <w:pPr>
        <w:pStyle w:val="Contention2"/>
      </w:pPr>
      <w:bookmarkStart w:id="41" w:name="_Toc505152520"/>
      <w:r>
        <w:t>Civilian use of guns against mass shooters is unlikely and concealed carry laws don't help</w:t>
      </w:r>
      <w:bookmarkEnd w:id="41"/>
    </w:p>
    <w:p w14:paraId="08915EC3" w14:textId="41D593E2" w:rsidR="00344D21" w:rsidRDefault="00344D21" w:rsidP="00344D21">
      <w:pPr>
        <w:pStyle w:val="Citation3"/>
      </w:pPr>
      <w:bookmarkStart w:id="42" w:name="_Toc505152992"/>
      <w:r w:rsidRPr="00F917CE">
        <w:rPr>
          <w:u w:val="single"/>
        </w:rPr>
        <w:t>Johns Hopkins</w:t>
      </w:r>
      <w:r>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29" w:history="1">
        <w:r w:rsidRPr="00F276CE">
          <w:rPr>
            <w:rStyle w:val="Hyperlink"/>
          </w:rPr>
          <w:t>https://www.jhsph.edu/research/centers-and-institutes/johns-hopkins-center-for-gun-policy-and-research/_pdfs/GunsOnCampus.pdf</w:t>
        </w:r>
        <w:bookmarkEnd w:id="42"/>
      </w:hyperlink>
    </w:p>
    <w:p w14:paraId="4BED1FE1" w14:textId="62ECC7B0" w:rsidR="00344D21" w:rsidRDefault="00344D21" w:rsidP="00344D21">
      <w:pPr>
        <w:pStyle w:val="Evidence"/>
      </w:pPr>
      <w:r w:rsidRPr="005B0295">
        <w:t>Successful civilian uses of guns to stop a mass shooting were incredibly rare and about as common as armed civilians being shot while attempting to respond to mass shooting incidents.</w:t>
      </w:r>
      <w:r w:rsidRPr="000240DD">
        <w:t xml:space="preserve"> Furthermore, the data show no evidence that RTC laws – which, it is argued, lead to more armed citizens ready to defend against a mass shooting – reduce mass shootings or the number of people shot in those incidents. </w:t>
      </w:r>
    </w:p>
    <w:p w14:paraId="4EE96150" w14:textId="77777777" w:rsidR="009A2DD0" w:rsidRDefault="009A2DD0" w:rsidP="009A2DD0">
      <w:pPr>
        <w:pStyle w:val="Contention2"/>
      </w:pPr>
      <w:bookmarkStart w:id="43" w:name="_Toc505152521"/>
      <w:r>
        <w:lastRenderedPageBreak/>
        <w:t>Unarmed civilians over 20x more likely to end active shooting</w:t>
      </w:r>
      <w:bookmarkEnd w:id="43"/>
    </w:p>
    <w:p w14:paraId="6A472715" w14:textId="13C3F3D5" w:rsidR="009A2DD0" w:rsidRDefault="009A2DD0" w:rsidP="009A2DD0">
      <w:pPr>
        <w:pStyle w:val="Citation3"/>
      </w:pPr>
      <w:bookmarkStart w:id="44" w:name="_Hlk501727133"/>
      <w:bookmarkStart w:id="45" w:name="_Toc505152993"/>
      <w:r w:rsidRPr="00F917CE">
        <w:rPr>
          <w:u w:val="single"/>
        </w:rPr>
        <w:t>Johns Hopkins</w:t>
      </w:r>
      <w:r w:rsidR="00992714">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30" w:history="1">
        <w:r w:rsidRPr="00F276CE">
          <w:rPr>
            <w:rStyle w:val="Hyperlink"/>
          </w:rPr>
          <w:t>https://www.jhsph.edu/research/centers-and-institutes/johns-hopkins-center-for-gun-policy-and-research/_pdfs/GunsOnCampus.pdf</w:t>
        </w:r>
        <w:bookmarkEnd w:id="45"/>
      </w:hyperlink>
    </w:p>
    <w:p w14:paraId="46B3357B" w14:textId="77777777" w:rsidR="009A2DD0" w:rsidRPr="008D4989" w:rsidRDefault="009A2DD0" w:rsidP="009A2DD0">
      <w:pPr>
        <w:pStyle w:val="Evidence"/>
        <w:rPr>
          <w:u w:val="single"/>
        </w:rPr>
      </w:pPr>
      <w:r w:rsidRPr="000240DD">
        <w:t xml:space="preserve">An FBI study that examined 160 active shootings in the United States during 2000-2013 also provides reason to be suspect of claims that civilian defensive gun uses figure prominently in terminating ongoing gun rampages. </w:t>
      </w:r>
      <w:r w:rsidRPr="008D4989">
        <w:rPr>
          <w:u w:val="single"/>
        </w:rPr>
        <w:t>FBI researchers found only one incident that involved an armed civilian intervening to end an attack in progress.</w:t>
      </w:r>
      <w:r w:rsidRPr="000240DD">
        <w:t xml:space="preserve"> The civilian in that incident (which is also one of the interventions cited by Klarevas) involved a U.S. Marine with a concealed-firearms license shooting a man attacking patrons in a Nevada bar. In another four incidents, the attacks were brought to an end when armed security guards shot the perpetrators. </w:t>
      </w:r>
      <w:r w:rsidRPr="008D4989">
        <w:rPr>
          <w:u w:val="single"/>
        </w:rPr>
        <w:t>By contrast, the FBI found that 21 of the 160 active shooting incidents were interrupted when unarmed civilians confronted and restrained the gunmen. The FBI’s data suggest that unarmed civilians are more than twenty times likely to successfully end an active shooting than are armed civilians.</w:t>
      </w:r>
    </w:p>
    <w:bookmarkEnd w:id="44"/>
    <w:p w14:paraId="024F8EF6" w14:textId="77777777" w:rsidR="00A623F0" w:rsidRDefault="00A623F0" w:rsidP="00A623F0">
      <w:pPr>
        <w:pStyle w:val="Contention2"/>
      </w:pPr>
      <w:r>
        <w:t xml:space="preserve"> </w:t>
      </w:r>
      <w:bookmarkStart w:id="46" w:name="_Toc505152522"/>
      <w:r>
        <w:t>“Carrying guns makes people safer” RESPONSE: Military disagrees.</w:t>
      </w:r>
      <w:bookmarkEnd w:id="46"/>
      <w:r>
        <w:t xml:space="preserve"> </w:t>
      </w:r>
    </w:p>
    <w:p w14:paraId="412C1383" w14:textId="7D7ADC00" w:rsidR="00A623F0" w:rsidRDefault="00A623F0" w:rsidP="00A623F0">
      <w:pPr>
        <w:pStyle w:val="Citation3"/>
      </w:pPr>
      <w:bookmarkStart w:id="47" w:name="_Toc505152994"/>
      <w:r w:rsidRPr="00A623F0">
        <w:rPr>
          <w:u w:val="single"/>
        </w:rPr>
        <w:t>The Editorial Board, USA TODAY, 2015</w:t>
      </w:r>
      <w:r>
        <w:t>. (</w:t>
      </w:r>
      <w:r w:rsidRPr="00A623F0">
        <w:t>USA TODAY's editorial opinions are decided by its Editorial Board, separate from the news staff. Most editorials are coupled with an opposing view — a unique USA TODAY feature.</w:t>
      </w:r>
      <w:r>
        <w:t>)</w:t>
      </w:r>
      <w:r w:rsidRPr="00A623F0">
        <w:t xml:space="preserve"> </w:t>
      </w:r>
      <w:r>
        <w:t>“</w:t>
      </w:r>
      <w:r w:rsidRPr="00A623F0">
        <w:t>Campus-carry gun laws won't make colleges safer: Our view</w:t>
      </w:r>
      <w:r>
        <w:t xml:space="preserve">” </w:t>
      </w:r>
      <w:r w:rsidRPr="00A623F0">
        <w:t>June 8, 2015</w:t>
      </w:r>
      <w:r>
        <w:t xml:space="preserve">. </w:t>
      </w:r>
      <w:hyperlink r:id="rId31" w:history="1">
        <w:r w:rsidR="00834704" w:rsidRPr="00AB55EE">
          <w:rPr>
            <w:rStyle w:val="Hyperlink"/>
          </w:rPr>
          <w:t>https://www.usatoday.com/story/opinion/2015/06/08/guns-handguns-concealed-carry-college-campus-texas-legislature-editorials-debates/28688893/#ampshare=https://www.usatoday.com/story/opinion/2015/06/08/guns-handguns-concealed-carry-college-campus-texas-legislature-editorials-debates/28688893/</w:t>
        </w:r>
        <w:bookmarkEnd w:id="47"/>
      </w:hyperlink>
      <w:r w:rsidR="00834704">
        <w:t xml:space="preserve"> </w:t>
      </w:r>
    </w:p>
    <w:p w14:paraId="52F55F82" w14:textId="77777777" w:rsidR="00A623F0" w:rsidRPr="00992714" w:rsidRDefault="00A623F0" w:rsidP="00A623F0">
      <w:pPr>
        <w:pStyle w:val="Evidence"/>
        <w:rPr>
          <w:u w:val="single"/>
        </w:rPr>
      </w:pPr>
      <w:r w:rsidRPr="00992714">
        <w:rPr>
          <w:u w:val="single"/>
        </w:rPr>
        <w:t>While the gun lobby promotes its firearms-everywhere agenda, professionals who know weapons best think it's a bad idea to let everyone carry all the time. That's why the U.S. military </w:t>
      </w:r>
      <w:hyperlink r:id="rId32" w:tooltip="https://www.usatoday.com/story/opinion/2014/04/08/fort-hood-soldiers-carry-guns-mass-shootings-editorials-debates/7486123/" w:history="1">
        <w:r w:rsidRPr="00992714">
          <w:rPr>
            <w:rStyle w:val="Hyperlink"/>
            <w:u w:val="single"/>
          </w:rPr>
          <w:t>bars most troops from carrying weapons</w:t>
        </w:r>
      </w:hyperlink>
      <w:r w:rsidRPr="00992714">
        <w:rPr>
          <w:u w:val="single"/>
        </w:rPr>
        <w:t> on their bases outside combat zones. And these are servicemembers with far more training than the </w:t>
      </w:r>
      <w:hyperlink r:id="rId33" w:tooltip="http://dps.texas.gov/RSD/CHL/faqs/" w:history="1">
        <w:r w:rsidRPr="00992714">
          <w:rPr>
            <w:rStyle w:val="Hyperlink"/>
            <w:u w:val="single"/>
          </w:rPr>
          <w:t>four hours</w:t>
        </w:r>
      </w:hyperlink>
      <w:r w:rsidRPr="00992714">
        <w:rPr>
          <w:u w:val="single"/>
        </w:rPr>
        <w:t> it takes to get a Texas concealed-carry permit.</w:t>
      </w:r>
    </w:p>
    <w:p w14:paraId="5C074B5C" w14:textId="6868535A" w:rsidR="00A623F0" w:rsidRPr="00A623F0" w:rsidRDefault="009A2DD0" w:rsidP="00A623F0">
      <w:pPr>
        <w:pStyle w:val="Contention2"/>
      </w:pPr>
      <w:r>
        <w:t xml:space="preserve"> </w:t>
      </w:r>
      <w:bookmarkStart w:id="48" w:name="_Toc505152523"/>
      <w:r w:rsidR="00A623F0">
        <w:t>“Deterrence” RESPONSE: Attackers don’t expect to survive</w:t>
      </w:r>
      <w:bookmarkEnd w:id="48"/>
    </w:p>
    <w:p w14:paraId="1EE2F1C6" w14:textId="1DAC23F3" w:rsidR="00A623F0" w:rsidRDefault="00992714" w:rsidP="00A623F0">
      <w:pPr>
        <w:pStyle w:val="Citation3"/>
      </w:pPr>
      <w:bookmarkStart w:id="49" w:name="_Toc505152995"/>
      <w:r>
        <w:rPr>
          <w:u w:val="single"/>
        </w:rPr>
        <w:t xml:space="preserve">Prof. </w:t>
      </w:r>
      <w:r w:rsidR="00A623F0" w:rsidRPr="00A623F0">
        <w:rPr>
          <w:u w:val="single"/>
        </w:rPr>
        <w:t>Nate Kreuter, 2016.</w:t>
      </w:r>
      <w:r w:rsidR="00A623F0">
        <w:t xml:space="preserve"> (</w:t>
      </w:r>
      <w:r w:rsidR="00A623F0" w:rsidRPr="00A623F0">
        <w:t>assistant professor in the English department at Western Carolina University, where he teaches writing and rhetoric.</w:t>
      </w:r>
      <w:r w:rsidR="00A623F0">
        <w:t>)</w:t>
      </w:r>
      <w:r w:rsidR="00A623F0" w:rsidRPr="00A623F0">
        <w:t xml:space="preserve"> </w:t>
      </w:r>
      <w:r w:rsidR="00A623F0">
        <w:t>“</w:t>
      </w:r>
      <w:r w:rsidR="00A623F0" w:rsidRPr="00A623F0">
        <w:t>Concealed in Our Classrooms</w:t>
      </w:r>
      <w:r w:rsidR="00A623F0">
        <w:t xml:space="preserve">” April 12, 2016. </w:t>
      </w:r>
      <w:hyperlink r:id="rId34" w:history="1">
        <w:r w:rsidR="00834704" w:rsidRPr="00AB55EE">
          <w:rPr>
            <w:rStyle w:val="Hyperlink"/>
          </w:rPr>
          <w:t>https://www.insidehighered.com/views/2016/04/12/key-arguments-concealed-carry-campuses-dont-hold-essay</w:t>
        </w:r>
        <w:bookmarkEnd w:id="49"/>
      </w:hyperlink>
      <w:r w:rsidR="00834704">
        <w:t xml:space="preserve"> </w:t>
      </w:r>
    </w:p>
    <w:p w14:paraId="0361FB3F" w14:textId="77777777" w:rsidR="00A623F0" w:rsidRDefault="00A623F0" w:rsidP="00A623F0">
      <w:pPr>
        <w:pStyle w:val="Evidence"/>
      </w:pPr>
      <w:r w:rsidRPr="00A623F0">
        <w:t>The Deterrence Argument</w:t>
      </w:r>
      <w:r>
        <w:t xml:space="preserve">. </w:t>
      </w:r>
      <w:r w:rsidRPr="00992714">
        <w:rPr>
          <w:u w:val="single"/>
        </w:rPr>
        <w:t>Advocates for allowing students and faculty members with appropriate permits to carry guns on college campuses often argue that the presence of concealed weapons will deter acts of violence. Because the weapons are required by law to be kept concealed, the logic goes, would-be perpetrators of violence will think twice before initiating their violent plans, possibly abandoning them entirely. But while there is a certain Occam’s razor simplicity to this logic, repeated college campus shootings have shown us that attackers often do not expect to survive their rampages. They seem in many cases to anticipate taking their own lives or inflicting as much damage as possible until brought down by law enforcement, which leads to the second argument</w:t>
      </w:r>
      <w:r>
        <w:t>. Rather than entirely deterring an attack, the presence of concealed weapons seems likely to simply encourage an attacker to strategize further, finding scenarios where concealed weapons holders are likely to be absent or without their weapons.</w:t>
      </w:r>
    </w:p>
    <w:p w14:paraId="0E45691A" w14:textId="4125FF3B" w:rsidR="00847135" w:rsidRDefault="00847135" w:rsidP="00847135">
      <w:pPr>
        <w:pStyle w:val="Contention1"/>
      </w:pPr>
      <w:bookmarkStart w:id="50" w:name="_Toc505152524"/>
      <w:r>
        <w:lastRenderedPageBreak/>
        <w:t>DISADVANTAGES</w:t>
      </w:r>
      <w:bookmarkEnd w:id="50"/>
      <w:r>
        <w:t xml:space="preserve"> </w:t>
      </w:r>
    </w:p>
    <w:p w14:paraId="69BD4A9B" w14:textId="43CA5455" w:rsidR="00A623F0" w:rsidRDefault="009A2DD0" w:rsidP="009A2DD0">
      <w:pPr>
        <w:pStyle w:val="Contention1"/>
        <w:numPr>
          <w:ilvl w:val="0"/>
          <w:numId w:val="27"/>
        </w:numPr>
      </w:pPr>
      <w:bookmarkStart w:id="51" w:name="_Toc505152525"/>
      <w:r>
        <w:t>Poor decision making with a gun.</w:t>
      </w:r>
      <w:bookmarkEnd w:id="51"/>
    </w:p>
    <w:p w14:paraId="39070AFA" w14:textId="2F1E96A6" w:rsidR="009B56A4" w:rsidRDefault="009A2DD0" w:rsidP="009B56A4">
      <w:pPr>
        <w:pStyle w:val="Contention2"/>
      </w:pPr>
      <w:bookmarkStart w:id="52" w:name="_Toc505152526"/>
      <w:r>
        <w:t>Link:</w:t>
      </w:r>
      <w:r w:rsidR="009B56A4">
        <w:t xml:space="preserve"> Self-control still developing</w:t>
      </w:r>
      <w:bookmarkEnd w:id="52"/>
      <w:r w:rsidR="009B56A4">
        <w:t xml:space="preserve"> </w:t>
      </w:r>
    </w:p>
    <w:p w14:paraId="5E3CE47F" w14:textId="77777777" w:rsidR="009B56A4" w:rsidRDefault="009B56A4" w:rsidP="009B56A4">
      <w:pPr>
        <w:pStyle w:val="Citation3"/>
      </w:pPr>
      <w:bookmarkStart w:id="53" w:name="_Toc505152996"/>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35" w:history="1">
        <w:r w:rsidRPr="00F276CE">
          <w:rPr>
            <w:rStyle w:val="Hyperlink"/>
          </w:rPr>
          <w:t>https://www.jhsph.edu/research/centers-and-institutes/johns-hopkins-center-for-gun-policy-and-research/_pdfs/GunsOnCampus.pdf</w:t>
        </w:r>
        <w:bookmarkEnd w:id="53"/>
      </w:hyperlink>
    </w:p>
    <w:p w14:paraId="6116C782" w14:textId="77777777" w:rsidR="009B56A4" w:rsidRDefault="009B56A4" w:rsidP="009B56A4">
      <w:pPr>
        <w:pStyle w:val="Evidence"/>
      </w:pPr>
      <w:r w:rsidRPr="001038BC">
        <w:rPr>
          <w:u w:val="single"/>
        </w:rPr>
        <w:t>Adolescence and emerging adulthood is a time of tremendous change in the biological systems that support decision-making, emotional and behavioral regulation, and motivation</w:t>
      </w:r>
      <w:r w:rsidRPr="00F917CE">
        <w:t xml:space="preserve">. As has been widely documented in the lay press and in the scientific literature, </w:t>
      </w:r>
      <w:r w:rsidRPr="001038BC">
        <w:rPr>
          <w:u w:val="single"/>
        </w:rPr>
        <w:t>the brain’s higher association areas</w:t>
      </w:r>
      <w:r w:rsidRPr="00F917CE">
        <w:t xml:space="preserve"> (</w:t>
      </w:r>
      <w:r w:rsidRPr="001038BC">
        <w:rPr>
          <w:u w:val="single"/>
        </w:rPr>
        <w:t>e.g., prefrontal cortex or PFC</w:t>
      </w:r>
      <w:r w:rsidRPr="00F917CE">
        <w:t xml:space="preserve">), among other areas, </w:t>
      </w:r>
      <w:r w:rsidRPr="001038BC">
        <w:rPr>
          <w:u w:val="single"/>
        </w:rPr>
        <w:t>continue to change well into the third decade of life</w:t>
      </w:r>
      <w:r>
        <w:t>.</w:t>
      </w:r>
      <w:r w:rsidRPr="00F917CE">
        <w:t xml:space="preserve"> </w:t>
      </w:r>
      <w:r w:rsidRPr="001038BC">
        <w:rPr>
          <w:u w:val="single"/>
        </w:rPr>
        <w:t>Areas of the PFC are part of the circuitry that supports self-control, including impulse control and inhibition, judgment, and long-range planning. These skills are essential for safe firearm storage and use, and for appreciating and avoiding the circumstances in which firearm use is likely to lead to tragedy</w:t>
      </w:r>
      <w:r w:rsidRPr="00F917CE">
        <w:t>.</w:t>
      </w:r>
    </w:p>
    <w:p w14:paraId="41F0AB3B" w14:textId="50E1124B" w:rsidR="009B56A4" w:rsidRDefault="009A2DD0" w:rsidP="009B56A4">
      <w:pPr>
        <w:pStyle w:val="Contention2"/>
      </w:pPr>
      <w:bookmarkStart w:id="54" w:name="_Toc505152527"/>
      <w:r>
        <w:t>Link</w:t>
      </w:r>
      <w:r w:rsidR="009B56A4">
        <w:t>: College-aged poor decision makers in high-stress situations</w:t>
      </w:r>
      <w:bookmarkEnd w:id="54"/>
    </w:p>
    <w:p w14:paraId="48E5CA94" w14:textId="166C2BDA" w:rsidR="009B56A4" w:rsidRDefault="009B56A4" w:rsidP="009B56A4">
      <w:pPr>
        <w:pStyle w:val="Citation3"/>
      </w:pPr>
      <w:bookmarkStart w:id="55" w:name="_Toc505152997"/>
      <w:r w:rsidRPr="00F917CE">
        <w:rPr>
          <w:u w:val="single"/>
        </w:rPr>
        <w:t>Johns Hopkins</w:t>
      </w:r>
      <w:r w:rsidR="001038BC">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36" w:history="1">
        <w:r w:rsidRPr="00F276CE">
          <w:rPr>
            <w:rStyle w:val="Hyperlink"/>
          </w:rPr>
          <w:t>https://www.jhsph.edu/research/centers-and-institutes/johns-hopkins-center-for-gun-policy-and-research/_pdfs/GunsOnCampus.pdf</w:t>
        </w:r>
        <w:bookmarkEnd w:id="55"/>
      </w:hyperlink>
    </w:p>
    <w:p w14:paraId="329968EE" w14:textId="1C8E33F6" w:rsidR="009B56A4" w:rsidRDefault="009B56A4" w:rsidP="009B56A4">
      <w:pPr>
        <w:pStyle w:val="Evidence"/>
      </w:pPr>
      <w:r>
        <w:t>Compared with adults and younger children, adolescent decision-makers are particularly sensitive to social and emotional cues in the environment, and are more sensitive to stress, both psychologically and biophysiologically.  A number of studies demonstrate that adolescents’ self</w:t>
      </w:r>
      <w:r w:rsidR="001038BC">
        <w:t xml:space="preserve"> </w:t>
      </w:r>
      <w:r>
        <w:t xml:space="preserve">control is vulnerable in the face of potential rewards (e.g., peer approval and acceptance). Similarly, in laboratory studies, adolescents have been shown to demonstrate poorer emotional regulation in the context of threat than other age groups. For example, in a self-control task, Dreyfuss et al. found that compared to their older and younger peers, adolescents, particularly males, were more likely to react impulsively to threat cues (compared to neutral cues); a finding that was mediated by differences in limbic activation in brain areas that support emotion regulation. </w:t>
      </w:r>
    </w:p>
    <w:p w14:paraId="425B5225" w14:textId="26983B0E" w:rsidR="009B56A4" w:rsidRDefault="009A2DD0" w:rsidP="009B56A4">
      <w:pPr>
        <w:pStyle w:val="Contention2"/>
      </w:pPr>
      <w:bookmarkStart w:id="56" w:name="_Toc505152528"/>
      <w:r>
        <w:t>Brink</w:t>
      </w:r>
      <w:r w:rsidR="009B56A4">
        <w:t>: More risk taking and poorer self-control</w:t>
      </w:r>
      <w:bookmarkEnd w:id="56"/>
      <w:r w:rsidR="009B56A4">
        <w:t xml:space="preserve"> </w:t>
      </w:r>
    </w:p>
    <w:p w14:paraId="446B2D8F" w14:textId="4EDB089C" w:rsidR="009B56A4" w:rsidRDefault="009B56A4" w:rsidP="009B56A4">
      <w:pPr>
        <w:pStyle w:val="Citation3"/>
      </w:pPr>
      <w:bookmarkStart w:id="57" w:name="_Toc505152998"/>
      <w:r w:rsidRPr="00F917CE">
        <w:rPr>
          <w:u w:val="single"/>
        </w:rPr>
        <w:t xml:space="preserve">Johns Hopkins </w:t>
      </w:r>
      <w:r w:rsidR="001038BC">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37" w:history="1">
        <w:r w:rsidRPr="00F276CE">
          <w:rPr>
            <w:rStyle w:val="Hyperlink"/>
          </w:rPr>
          <w:t>https://www.jhsph.edu/research/centers-and-institutes/johns-hopkins-center-for-gun-policy-and-research/_pdfs/GunsOnCampus.pdf</w:t>
        </w:r>
        <w:bookmarkEnd w:id="57"/>
      </w:hyperlink>
    </w:p>
    <w:p w14:paraId="5EBF91CD" w14:textId="2C3DD643" w:rsidR="009B56A4" w:rsidRDefault="009B56A4" w:rsidP="009B56A4">
      <w:pPr>
        <w:pStyle w:val="Evidence"/>
      </w:pPr>
      <w:r w:rsidRPr="00F917CE">
        <w:t>In summary, typical developmental processes in adolescence are associated with more risktaking, and poorer self-control in the transition to adulthood. Guns may be called on in the very situations in which adolescents are most developmentally vulnerable: in the context of high emotional arousal, situations that require rapid, complex social information processing, those that involve reinforcing or establishing peer relationships (i.e., showing off), or in conditions of perceived threat.</w:t>
      </w:r>
    </w:p>
    <w:p w14:paraId="691D192E" w14:textId="00EF4C61" w:rsidR="009A2DD0" w:rsidRPr="009A2DD0" w:rsidRDefault="009A2DD0" w:rsidP="009A2DD0">
      <w:pPr>
        <w:keepNext/>
        <w:keepLines/>
        <w:spacing w:after="120" w:line="240" w:lineRule="auto"/>
        <w:ind w:left="144"/>
        <w:rPr>
          <w:rFonts w:ascii="Times New Roman" w:eastAsia="Times New Roman" w:hAnsi="Times New Roman"/>
          <w:b/>
          <w:bCs/>
          <w:color w:val="000000"/>
          <w:sz w:val="20"/>
          <w:szCs w:val="20"/>
          <w:lang w:eastAsia="fr-FR"/>
        </w:rPr>
      </w:pPr>
      <w:r w:rsidRPr="009A2DD0">
        <w:rPr>
          <w:rFonts w:ascii="Times New Roman" w:eastAsia="Times New Roman" w:hAnsi="Times New Roman"/>
          <w:b/>
          <w:bCs/>
          <w:color w:val="000000"/>
          <w:sz w:val="20"/>
          <w:szCs w:val="20"/>
          <w:lang w:eastAsia="fr-FR"/>
        </w:rPr>
        <w:lastRenderedPageBreak/>
        <w:t>Impact: Death</w:t>
      </w:r>
      <w:r w:rsidR="007409F4">
        <w:rPr>
          <w:rFonts w:ascii="Times New Roman" w:eastAsia="Times New Roman" w:hAnsi="Times New Roman"/>
          <w:b/>
          <w:bCs/>
          <w:color w:val="000000"/>
          <w:sz w:val="20"/>
          <w:szCs w:val="20"/>
          <w:lang w:eastAsia="fr-FR"/>
        </w:rPr>
        <w:t xml:space="preserve">.  </w:t>
      </w:r>
      <w:r w:rsidRPr="009A2DD0">
        <w:rPr>
          <w:rFonts w:ascii="Times New Roman" w:eastAsia="Times New Roman" w:hAnsi="Times New Roman"/>
          <w:b/>
          <w:bCs/>
          <w:color w:val="000000"/>
          <w:sz w:val="20"/>
          <w:szCs w:val="20"/>
          <w:lang w:eastAsia="fr-FR"/>
        </w:rPr>
        <w:t xml:space="preserve"> </w:t>
      </w:r>
    </w:p>
    <w:p w14:paraId="1C5BE203" w14:textId="09E06780" w:rsidR="009A2DD0" w:rsidRPr="009A2DD0" w:rsidRDefault="009A2DD0" w:rsidP="009A2DD0">
      <w:pPr>
        <w:keepNext/>
        <w:keepLines/>
        <w:spacing w:after="120" w:line="240" w:lineRule="auto"/>
        <w:ind w:left="288"/>
        <w:rPr>
          <w:rFonts w:ascii="Times New Roman" w:hAnsi="Times New Roman"/>
          <w:i/>
          <w:sz w:val="20"/>
        </w:rPr>
      </w:pPr>
      <w:r w:rsidRPr="009A2DD0">
        <w:rPr>
          <w:rFonts w:ascii="Times New Roman" w:hAnsi="Times New Roman"/>
          <w:i/>
          <w:sz w:val="20"/>
          <w:u w:val="single"/>
        </w:rPr>
        <w:t>Johns Hopkins</w:t>
      </w:r>
      <w:r w:rsidR="007409F4">
        <w:rPr>
          <w:rFonts w:ascii="Times New Roman" w:hAnsi="Times New Roman"/>
          <w:i/>
          <w:sz w:val="20"/>
          <w:u w:val="single"/>
        </w:rPr>
        <w:t xml:space="preserve"> University,</w:t>
      </w:r>
      <w:r w:rsidRPr="009A2DD0">
        <w:rPr>
          <w:rFonts w:ascii="Times New Roman" w:hAnsi="Times New Roman"/>
          <w:i/>
          <w:sz w:val="20"/>
          <w:u w:val="single"/>
        </w:rPr>
        <w:t xml:space="preserve"> Bloomberg School of Public Health, 2016.</w:t>
      </w:r>
      <w:r w:rsidRPr="009A2DD0">
        <w:rPr>
          <w:rFonts w:ascii="Times New Roman" w:hAnsi="Times New Roman"/>
          <w:i/>
          <w:sz w:val="20"/>
        </w:rPr>
        <w:t xml:space="preserve"> (Prepared by Daniel W. Webster, ScD, MPH John J. Donohue III, PhD, JD Louis Klarevas, PhD Cassandra K. Crifasi, PhD, MPH Jon S. Vernick, JD, MPH David Jernigan, PhD Holly C. Wilcox, PhD Sara B. Johnson, PhD, MPH Sheldon Greenberg, PhD Emma E. McGinty, PhD, MS) “Firearms on College Campuses: Research Evidence and Policy Implications” October 15, 2016. </w:t>
      </w:r>
      <w:hyperlink r:id="rId38" w:history="1">
        <w:r w:rsidRPr="009A2DD0">
          <w:rPr>
            <w:rFonts w:ascii="Times New Roman" w:hAnsi="Times New Roman"/>
            <w:i/>
            <w:color w:val="7F7F7F"/>
            <w:sz w:val="20"/>
            <w:u w:val="dotted" w:color="7F7F7F"/>
          </w:rPr>
          <w:t>https://www.jhsph.edu/research/centers-and-institutes/johns-hopkins-center-for-gun-policy-and-research/_pdfs/GunsOnCampus.pdf</w:t>
        </w:r>
      </w:hyperlink>
    </w:p>
    <w:p w14:paraId="0BFA60F0" w14:textId="77777777" w:rsidR="009A2DD0" w:rsidRPr="009A2DD0" w:rsidRDefault="009A2DD0" w:rsidP="009A2DD0">
      <w:pPr>
        <w:keepLines/>
        <w:spacing w:line="240" w:lineRule="auto"/>
        <w:ind w:left="288"/>
        <w:rPr>
          <w:rFonts w:ascii="Times New Roman" w:eastAsia="Times New Roman" w:hAnsi="Times New Roman"/>
          <w:bCs/>
          <w:color w:val="000000"/>
          <w:sz w:val="20"/>
          <w:szCs w:val="20"/>
          <w:lang w:eastAsia="fr-FR"/>
        </w:rPr>
      </w:pPr>
      <w:r w:rsidRPr="009A2DD0">
        <w:rPr>
          <w:rFonts w:ascii="Times New Roman" w:eastAsia="Times New Roman" w:hAnsi="Times New Roman"/>
          <w:bCs/>
          <w:color w:val="000000"/>
          <w:sz w:val="20"/>
          <w:szCs w:val="20"/>
          <w:lang w:eastAsia="fr-FR"/>
        </w:rPr>
        <w:t>A recent study identified 85 incidents of shootings or undesirable discharges of firearms on college campuses in the U.S. from January 2013 through June 2016. Only two of these 85 incidents (2.4%) involved a shooter on a rampage. The most common incidents were interpersonal disputes that escalated into gun violence (45%), premeditated acts of violence against an individual (12%), suicides or murder/suicides (12%), and unintentional shootings or discharges (9%).</w:t>
      </w:r>
    </w:p>
    <w:p w14:paraId="5B5181CF" w14:textId="77777777" w:rsidR="009A2DD0" w:rsidRDefault="009A2DD0" w:rsidP="009B56A4">
      <w:pPr>
        <w:pStyle w:val="Evidence"/>
      </w:pPr>
    </w:p>
    <w:p w14:paraId="11B3656F" w14:textId="5ECE96A2" w:rsidR="009A2DD0" w:rsidRDefault="009A2DD0" w:rsidP="009A2DD0">
      <w:pPr>
        <w:pStyle w:val="Contention1"/>
        <w:numPr>
          <w:ilvl w:val="0"/>
          <w:numId w:val="27"/>
        </w:numPr>
      </w:pPr>
      <w:bookmarkStart w:id="58" w:name="_Toc505152529"/>
      <w:r>
        <w:t>Increase in suicide</w:t>
      </w:r>
      <w:bookmarkEnd w:id="58"/>
      <w:r>
        <w:t xml:space="preserve"> </w:t>
      </w:r>
    </w:p>
    <w:p w14:paraId="77FD3A26" w14:textId="6AC5BD38" w:rsidR="006D18B4" w:rsidRPr="005B0295" w:rsidRDefault="009B56A4" w:rsidP="006D18B4">
      <w:pPr>
        <w:pStyle w:val="Contention2"/>
      </w:pPr>
      <w:bookmarkStart w:id="59" w:name="_Toc505152530"/>
      <w:r>
        <w:t xml:space="preserve">Link: </w:t>
      </w:r>
      <w:r w:rsidR="006D18B4">
        <w:t>Young adults at higher risk of suicide.</w:t>
      </w:r>
      <w:bookmarkEnd w:id="59"/>
    </w:p>
    <w:p w14:paraId="6023C27C" w14:textId="7751E586" w:rsidR="00F917CE" w:rsidRDefault="00F917CE" w:rsidP="00F917CE">
      <w:pPr>
        <w:pStyle w:val="Citation3"/>
      </w:pPr>
      <w:bookmarkStart w:id="60" w:name="_Toc505152999"/>
      <w:r w:rsidRPr="00F917CE">
        <w:rPr>
          <w:u w:val="single"/>
        </w:rPr>
        <w:t xml:space="preserve">Johns Hopkins </w:t>
      </w:r>
      <w:r w:rsidR="007409F4">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39" w:history="1">
        <w:r w:rsidRPr="00F276CE">
          <w:rPr>
            <w:rStyle w:val="Hyperlink"/>
          </w:rPr>
          <w:t>https://www.jhsph.edu/research/centers-and-institutes/johns-hopkins-center-for-gun-policy-and-research/_pdfs/GunsOnCampus.pdf</w:t>
        </w:r>
        <w:bookmarkEnd w:id="60"/>
      </w:hyperlink>
    </w:p>
    <w:p w14:paraId="287E0BE2" w14:textId="2EB609D3" w:rsidR="000240DD" w:rsidRDefault="000240DD" w:rsidP="000240DD">
      <w:pPr>
        <w:pStyle w:val="Evidence"/>
      </w:pPr>
      <w:r w:rsidRPr="000240DD">
        <w:t>Suicidal behavior that leads to death or hospital treatment peaks at age 16, but remains high through age 25, covering the age span of most college students. Mental illnesses, such as depression, that commonly emerge during adolescence and young adulthood, coupled with restricted impulse control and the stressors that many college students experience, increases the risk of suicidal behavior among college students. Research demonstrates that access to firearms substantially increases suicide risks, especially among adolescents and young adults, as firearms are the most common method of lethal self-harm.</w:t>
      </w:r>
    </w:p>
    <w:p w14:paraId="4DF782CD" w14:textId="77777777" w:rsidR="00B73CA9" w:rsidRDefault="00B73CA9" w:rsidP="00B73CA9">
      <w:pPr>
        <w:pStyle w:val="Contention2"/>
      </w:pPr>
      <w:bookmarkStart w:id="61" w:name="_Toc505152531"/>
      <w:r>
        <w:t>Link: Suicide risk high in young adults</w:t>
      </w:r>
      <w:bookmarkEnd w:id="61"/>
      <w:r>
        <w:t xml:space="preserve"> </w:t>
      </w:r>
    </w:p>
    <w:p w14:paraId="2B61C3D9" w14:textId="1BDF400B" w:rsidR="00B73CA9" w:rsidRDefault="00B73CA9" w:rsidP="00B73CA9">
      <w:pPr>
        <w:pStyle w:val="Citation3"/>
      </w:pPr>
      <w:bookmarkStart w:id="62" w:name="_Toc505153000"/>
      <w:r w:rsidRPr="00F917CE">
        <w:rPr>
          <w:u w:val="single"/>
        </w:rPr>
        <w:t>Johns Hopkins</w:t>
      </w:r>
      <w:r w:rsidR="007409F4">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0" w:history="1">
        <w:r w:rsidRPr="00F276CE">
          <w:rPr>
            <w:rStyle w:val="Hyperlink"/>
          </w:rPr>
          <w:t>https://www.jhsph.edu/research/centers-and-institutes/johns-hopkins-center-for-gun-policy-and-research/_pdfs/GunsOnCampus.pdf</w:t>
        </w:r>
        <w:bookmarkEnd w:id="62"/>
      </w:hyperlink>
    </w:p>
    <w:p w14:paraId="60A31959" w14:textId="04A18DCE" w:rsidR="00B73CA9" w:rsidRDefault="00B73CA9" w:rsidP="00B73CA9">
      <w:pPr>
        <w:pStyle w:val="Evidence"/>
      </w:pPr>
      <w:r w:rsidRPr="007409F4">
        <w:rPr>
          <w:u w:val="single"/>
        </w:rPr>
        <w:t>Of particular concern in the context of proposals to allow students to carry firearms on campus is the risk of suicide associated with mental illnesses, especially depression, among this group. In a national survey of undergraduates conducted in 2015 about events within the past 12 months, 8.9% reported “seriously considering attempting suicide” and 1.4% had attempted suicide. A study of students from 645 U.S. college campuses found increased rates of suicide among college students in 2008-2009 compared to 2004-2005: the suicide rate increased from 6.5 to 7.7 per 100,000 students. Importantly, a firearm was the leading method for suicide among males, accounting for nearly a third</w:t>
      </w:r>
      <w:r w:rsidRPr="00F917CE">
        <w:t xml:space="preserve"> (31%) </w:t>
      </w:r>
      <w:r w:rsidRPr="007409F4">
        <w:rPr>
          <w:u w:val="single"/>
        </w:rPr>
        <w:t>of all suicides among male college students. For females, firearms were the third leading cause of suicide (10% of all suicides in this group</w:t>
      </w:r>
      <w:r w:rsidRPr="00F917CE">
        <w:t>), behind hanging (29%) and poison (16%).65 This gender differential in firearm suicide on college campuses mirrors the differential i</w:t>
      </w:r>
      <w:r w:rsidR="007409F4">
        <w:t>n the overall U.S. population.</w:t>
      </w:r>
      <w:r w:rsidRPr="00F917CE">
        <w:t xml:space="preserve"> </w:t>
      </w:r>
      <w:r w:rsidRPr="007409F4">
        <w:rPr>
          <w:u w:val="single"/>
        </w:rPr>
        <w:t>A large body of literature clearly shows that firearm access is associated with increased rates of suicide, suggesting that increased access to firearms on college campuses could significantly increase suicide in this vulnerable group</w:t>
      </w:r>
      <w:r w:rsidRPr="00F917CE">
        <w:t>.</w:t>
      </w:r>
    </w:p>
    <w:p w14:paraId="6C104A0A" w14:textId="7837A2B8" w:rsidR="00B73CA9" w:rsidRDefault="00B73CA9" w:rsidP="00B73CA9">
      <w:pPr>
        <w:pStyle w:val="Contention2"/>
      </w:pPr>
      <w:bookmarkStart w:id="63" w:name="_Hlk501792546"/>
      <w:bookmarkStart w:id="64" w:name="_Toc505152532"/>
      <w:r>
        <w:lastRenderedPageBreak/>
        <w:t>Brink: Suicide attempts pe</w:t>
      </w:r>
      <w:r w:rsidR="007409F4">
        <w:t>a</w:t>
      </w:r>
      <w:r>
        <w:t>k at college-age</w:t>
      </w:r>
      <w:bookmarkEnd w:id="64"/>
    </w:p>
    <w:p w14:paraId="47F55240" w14:textId="44C9D640" w:rsidR="00B73CA9" w:rsidRDefault="00B73CA9" w:rsidP="00B73CA9">
      <w:pPr>
        <w:pStyle w:val="Citation3"/>
      </w:pPr>
      <w:bookmarkStart w:id="65" w:name="_Toc505153001"/>
      <w:r w:rsidRPr="00F917CE">
        <w:rPr>
          <w:u w:val="single"/>
        </w:rPr>
        <w:t>Johns Hopkins</w:t>
      </w:r>
      <w:r w:rsidR="007409F4">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1" w:history="1">
        <w:r w:rsidRPr="00F276CE">
          <w:rPr>
            <w:rStyle w:val="Hyperlink"/>
          </w:rPr>
          <w:t>https://www.jhsph.edu/research/centers-and-institutes/johns-hopkins-center-for-gun-policy-and-research/_pdfs/GunsOnCampus.pdf</w:t>
        </w:r>
        <w:bookmarkEnd w:id="65"/>
      </w:hyperlink>
    </w:p>
    <w:p w14:paraId="29613B64" w14:textId="77777777" w:rsidR="00B73CA9" w:rsidRDefault="00B73CA9" w:rsidP="00B73CA9">
      <w:pPr>
        <w:pStyle w:val="Evidence"/>
      </w:pPr>
      <w:r w:rsidRPr="007409F4">
        <w:rPr>
          <w:u w:val="single"/>
        </w:rPr>
        <w:t>The broader research literature on civilian gun use and policies that allow civilians to carry concealed firearms has not examined the experience or implications of policies that allow students, staff, faculty, or visitors to carry firearms onto college campuses</w:t>
      </w:r>
      <w:r w:rsidRPr="00F917CE">
        <w:t xml:space="preserve">. </w:t>
      </w:r>
      <w:r w:rsidRPr="007409F4">
        <w:rPr>
          <w:u w:val="single"/>
        </w:rPr>
        <w:t>Relevant to this discussion is the frequency and nature of events where civilians might use firearms at their disposal, the capacity and proclivities of adolescents and young adults of typical college age to make prudent decisions about when or how to use firearms</w:t>
      </w:r>
      <w:r w:rsidRPr="00F917CE">
        <w:t>, the onset of severe mental illness during young adulthood, the frequency of binge drinking of alcoholic beverages among college students and the violence that stems from that drinking. In addition, suicidal ideation and behavior is common during late adolescence and early adulthood and increasing access to firearms through policies that all</w:t>
      </w:r>
      <w:r>
        <w:t>ow guns onto college campuses</w:t>
      </w:r>
      <w:r w:rsidRPr="00F917CE">
        <w:t xml:space="preserve"> could increase risk of suicide among college students. Due to a variety of developmental, psychological, and sociological reasons, </w:t>
      </w:r>
      <w:r w:rsidRPr="007409F4">
        <w:rPr>
          <w:u w:val="single"/>
        </w:rPr>
        <w:t>age-specific homicide offending rates increase dramatically during adolescence, peaking at age nineteen, and are highest during the age span of most college students (18- 24 years). Suicide attempts that lead to hospital treatment or death also rise dramatically and peak during the years that most youth enter college</w:t>
      </w:r>
      <w:r w:rsidRPr="00F917CE">
        <w:t>.</w:t>
      </w:r>
    </w:p>
    <w:p w14:paraId="385F2AF4" w14:textId="5856E1DA" w:rsidR="00B73CA9" w:rsidRDefault="00B73CA9" w:rsidP="00B73CA9">
      <w:pPr>
        <w:pStyle w:val="Contention2"/>
      </w:pPr>
      <w:bookmarkStart w:id="66" w:name="_Toc505152533"/>
      <w:bookmarkEnd w:id="63"/>
      <w:r>
        <w:t>Impact: Guns increase suicide risk up to five-fold</w:t>
      </w:r>
      <w:r w:rsidR="007409F4">
        <w:t>, and they don't switch to other methods of suicide – the suicides simply don't happen without the gun</w:t>
      </w:r>
      <w:bookmarkEnd w:id="66"/>
    </w:p>
    <w:p w14:paraId="35FF9900" w14:textId="77777777" w:rsidR="00B73CA9" w:rsidRDefault="00B73CA9" w:rsidP="00B73CA9">
      <w:pPr>
        <w:pStyle w:val="Citation3"/>
      </w:pPr>
      <w:bookmarkStart w:id="67" w:name="_Hlk501792814"/>
      <w:bookmarkStart w:id="68" w:name="_Toc505153002"/>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2" w:history="1">
        <w:r w:rsidRPr="00F276CE">
          <w:rPr>
            <w:rStyle w:val="Hyperlink"/>
          </w:rPr>
          <w:t>https://www.jhsph.edu/research/centers-and-institutes/johns-hopkins-center-for-gun-policy-and-research/_pdfs/GunsOnCampus.pdf</w:t>
        </w:r>
        <w:bookmarkEnd w:id="68"/>
      </w:hyperlink>
    </w:p>
    <w:bookmarkEnd w:id="67"/>
    <w:p w14:paraId="299D5DFB" w14:textId="77777777" w:rsidR="00B73CA9" w:rsidRDefault="00B73CA9" w:rsidP="00B73CA9">
      <w:pPr>
        <w:pStyle w:val="Evidence"/>
      </w:pPr>
      <w:r w:rsidRPr="007409F4">
        <w:rPr>
          <w:u w:val="single"/>
        </w:rPr>
        <w:t>Studies of the relationship between the presence of guns in the home and risk for suicide among younger populations have found that the risk of suicide is two- to five-fold higher for all household members in homes with firearms. These studies have reported limited evidence of substitution of methods; restricting access to firearms did not lead to increased use of other methods of suicide attempt</w:t>
      </w:r>
      <w:r w:rsidRPr="00F917CE">
        <w:t>. An analysis of changes to Connecticut and Missouri’s permit to purchase handgun purchaser licensing laws also indicate that these laws – which both screen out some individuals at high risk of suicide and reduce guns purchased in response to a suicidal impulse – play a role in</w:t>
      </w:r>
      <w:r>
        <w:t xml:space="preserve"> reducing firearm suicide risk.</w:t>
      </w:r>
      <w:r w:rsidRPr="00F917CE">
        <w:t xml:space="preserve"> </w:t>
      </w:r>
      <w:r w:rsidRPr="007409F4">
        <w:rPr>
          <w:u w:val="single"/>
        </w:rPr>
        <w:t>Reducing the availability of highly lethal and commonly used suicide methods has been associated with declines in suicide rates of as much as 30%–50% in other countries and can be especially influential in younger populations.</w:t>
      </w:r>
      <w:r>
        <w:t xml:space="preserve"> </w:t>
      </w:r>
    </w:p>
    <w:p w14:paraId="1A5A36FC" w14:textId="5FCF6182" w:rsidR="009A2DD0" w:rsidRDefault="009A2DD0" w:rsidP="009A2DD0">
      <w:pPr>
        <w:pStyle w:val="Contention1"/>
        <w:numPr>
          <w:ilvl w:val="0"/>
          <w:numId w:val="27"/>
        </w:numPr>
      </w:pPr>
      <w:bookmarkStart w:id="69" w:name="_Toc505152534"/>
      <w:r>
        <w:lastRenderedPageBreak/>
        <w:t>Increased Crime</w:t>
      </w:r>
      <w:bookmarkEnd w:id="69"/>
      <w:r>
        <w:t xml:space="preserve"> </w:t>
      </w:r>
    </w:p>
    <w:p w14:paraId="1DA2551B" w14:textId="2DCE60B1" w:rsidR="00CF3A06" w:rsidRDefault="007409F4" w:rsidP="00CF3A06">
      <w:pPr>
        <w:pStyle w:val="Contention2"/>
      </w:pPr>
      <w:bookmarkStart w:id="70" w:name="_Toc505152535"/>
      <w:r>
        <w:t>Crime increases</w:t>
      </w:r>
      <w:r w:rsidR="00CF3A06">
        <w:t xml:space="preserve"> in response to RTC</w:t>
      </w:r>
      <w:r>
        <w:t xml:space="preserve"> (Right to Carry)</w:t>
      </w:r>
      <w:r w:rsidR="00CF3A06">
        <w:t xml:space="preserve"> laws</w:t>
      </w:r>
      <w:bookmarkEnd w:id="70"/>
      <w:r w:rsidR="00CF3A06">
        <w:t xml:space="preserve"> </w:t>
      </w:r>
    </w:p>
    <w:p w14:paraId="034D1DA4" w14:textId="18236015" w:rsidR="00F917CE" w:rsidRDefault="00F917CE" w:rsidP="00F917CE">
      <w:pPr>
        <w:pStyle w:val="Citation3"/>
      </w:pPr>
      <w:bookmarkStart w:id="71" w:name="_Toc505153003"/>
      <w:r w:rsidRPr="00F917CE">
        <w:rPr>
          <w:u w:val="single"/>
        </w:rPr>
        <w:t xml:space="preserve">Johns Hopkins </w:t>
      </w:r>
      <w:r w:rsidR="007409F4">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3" w:history="1">
        <w:r w:rsidRPr="00F276CE">
          <w:rPr>
            <w:rStyle w:val="Hyperlink"/>
          </w:rPr>
          <w:t>https://www.jhsph.edu/research/centers-and-institutes/johns-hopkins-center-for-gun-policy-and-research/_pdfs/GunsOnCampus.pdf</w:t>
        </w:r>
        <w:bookmarkEnd w:id="71"/>
      </w:hyperlink>
    </w:p>
    <w:p w14:paraId="13E826A1" w14:textId="62A7623A" w:rsidR="006F1C43" w:rsidRDefault="006F1C43" w:rsidP="006F1C43">
      <w:pPr>
        <w:pStyle w:val="Evidence"/>
      </w:pPr>
      <w:r w:rsidRPr="006F1C43">
        <w:t xml:space="preserve">Donohue, Aneja, and Webber attempted to address these deficiencies with state panel data analyses that extended the NRC data by twelve years, during which time eleven additional states adopted RTC laws, to 1979-2012. </w:t>
      </w:r>
      <w:r w:rsidRPr="007409F4">
        <w:rPr>
          <w:u w:val="single"/>
        </w:rPr>
        <w:t>Two models were used to explore the relationship between RTC laws and crime. Model 1 estimated shifts in the level of crime after RTC adoption and model 2 estimated RTC laws’ association with changes in crime trends or slopes. Both models indicated that violent and property crime both increased in response to the adoption of RTC laws. Specifically, violent crime was 12.3% higher after adoption of RTC laws and violent crime increases about 1.1% more for each year RTC laws are in effect</w:t>
      </w:r>
      <w:r w:rsidRPr="006F1C43">
        <w:t xml:space="preserve">. </w:t>
      </w:r>
    </w:p>
    <w:p w14:paraId="4A702F8D" w14:textId="385F789E" w:rsidR="00CF3A06" w:rsidRDefault="00CF3A06" w:rsidP="00CF3A06">
      <w:pPr>
        <w:pStyle w:val="Contention2"/>
      </w:pPr>
      <w:bookmarkStart w:id="72" w:name="_Toc505152536"/>
      <w:r>
        <w:t>RTC laws elevate violent crime rates</w:t>
      </w:r>
      <w:r w:rsidR="007409F4">
        <w:t xml:space="preserve"> by 10%</w:t>
      </w:r>
      <w:bookmarkEnd w:id="72"/>
      <w:r>
        <w:t xml:space="preserve"> </w:t>
      </w:r>
    </w:p>
    <w:p w14:paraId="73112529" w14:textId="2029D115" w:rsidR="00F917CE" w:rsidRDefault="00F917CE" w:rsidP="00F917CE">
      <w:pPr>
        <w:pStyle w:val="Citation3"/>
      </w:pPr>
      <w:bookmarkStart w:id="73" w:name="_Toc505153004"/>
      <w:r w:rsidRPr="00F917CE">
        <w:rPr>
          <w:u w:val="single"/>
        </w:rPr>
        <w:t xml:space="preserve">Johns Hopkins </w:t>
      </w:r>
      <w:r w:rsidR="007409F4">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4" w:history="1">
        <w:r w:rsidRPr="00F276CE">
          <w:rPr>
            <w:rStyle w:val="Hyperlink"/>
          </w:rPr>
          <w:t>https://www.jhsph.edu/research/centers-and-institutes/johns-hopkins-center-for-gun-policy-and-research/_pdfs/GunsOnCampus.pdf</w:t>
        </w:r>
        <w:bookmarkEnd w:id="73"/>
      </w:hyperlink>
    </w:p>
    <w:p w14:paraId="49E98591" w14:textId="428F8D83" w:rsidR="000240DD" w:rsidRDefault="006F1C43" w:rsidP="006F1C43">
      <w:pPr>
        <w:pStyle w:val="Evidence"/>
      </w:pPr>
      <w:r w:rsidRPr="006F1C43">
        <w:t>New and sophisticated techniques are being employed to assist researchers in finding the best set of control states that have violent crime patterns most similar to the states adopting new laws. Research by Durlauf, Navarro, and Rivers attempts to sort out the different specification choices between Aneja, Donohue, and Zhang, and Lott and Mustard, using a Baye</w:t>
      </w:r>
      <w:r w:rsidR="00CF3A06">
        <w:t>sian model averaging approach.</w:t>
      </w:r>
      <w:r w:rsidRPr="006F1C43">
        <w:t xml:space="preserve"> Applying this technique to analyze the impact of RTC laws using county data from 1979- 2000, the authors find that in their preferred spline (trend) model, </w:t>
      </w:r>
      <w:r w:rsidRPr="007409F4">
        <w:rPr>
          <w:u w:val="single"/>
        </w:rPr>
        <w:t>RTC laws elevate violent crime rates by 6.5% in the three years after RTC adoption, with the effects growing over time. A recent report from the Brennan Center based on state-level data for 1979-2012 indicates that violent crime increased, on average, 10</w:t>
      </w:r>
      <w:r w:rsidR="00CF3A06" w:rsidRPr="007409F4">
        <w:rPr>
          <w:u w:val="single"/>
        </w:rPr>
        <w:t>% following RTC law adoption</w:t>
      </w:r>
      <w:r w:rsidR="00CF3A06">
        <w:t>.</w:t>
      </w:r>
      <w:r w:rsidRPr="006F1C43">
        <w:t xml:space="preserve"> Zimmerman (2015) examined the impact of various crime prevention measures on crime using a state panel data set from 1999-2010</w:t>
      </w:r>
      <w:r w:rsidRPr="007409F4">
        <w:rPr>
          <w:u w:val="single"/>
        </w:rPr>
        <w:t>. The findings from this study revealed statistically significant increases in murder, robbery and assault associated with RTC law adoption.</w:t>
      </w:r>
      <w:r w:rsidRPr="006F1C43">
        <w:t xml:space="preserve"> Estimating so-called synthetic controls for states that adopt new policies is a relatively new technique to evaluate the impact of state policy changes on violent crime and other outcomes. </w:t>
      </w:r>
    </w:p>
    <w:p w14:paraId="11F97DAB" w14:textId="46C67094" w:rsidR="00CF3A06" w:rsidRDefault="00F917CE" w:rsidP="00F917CE">
      <w:pPr>
        <w:pStyle w:val="Contention2"/>
      </w:pPr>
      <w:bookmarkStart w:id="74" w:name="_Toc505152537"/>
      <w:r>
        <w:lastRenderedPageBreak/>
        <w:t>RTC Laws increase crime</w:t>
      </w:r>
      <w:r w:rsidR="007409F4">
        <w:t xml:space="preserve"> --</w:t>
      </w:r>
      <w:r>
        <w:t xml:space="preserve"> even when permit holders are not committing crimes.</w:t>
      </w:r>
      <w:bookmarkEnd w:id="74"/>
    </w:p>
    <w:p w14:paraId="65EFCEEA" w14:textId="77777777" w:rsidR="00F917CE" w:rsidRDefault="00F917CE" w:rsidP="00F917CE">
      <w:pPr>
        <w:pStyle w:val="Citation3"/>
      </w:pPr>
      <w:bookmarkStart w:id="75" w:name="_Toc505153005"/>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5" w:history="1">
        <w:r w:rsidRPr="00F276CE">
          <w:rPr>
            <w:rStyle w:val="Hyperlink"/>
          </w:rPr>
          <w:t>https://www.jhsph.edu/research/centers-and-institutes/johns-hopkins-center-for-gun-policy-and-research/_pdfs/GunsOnCampus.pdf</w:t>
        </w:r>
        <w:bookmarkEnd w:id="75"/>
      </w:hyperlink>
    </w:p>
    <w:p w14:paraId="1A83CF43" w14:textId="2BDE85AE" w:rsidR="006F1C43" w:rsidRDefault="006F1C43" w:rsidP="006F1C43">
      <w:pPr>
        <w:pStyle w:val="Evidence"/>
      </w:pPr>
      <w:r w:rsidRPr="006F1C43">
        <w:t>Second, RTC laws can increase crime in many ways even if the permit holders are not committing it. The ability to carry a gun may embolden some permit holders to incite criminal responses to their provocative behavior, as some have alleged in the George Zimmerman case leading to the death of Trayvon Martin. Criminals may also be more likely to carry weapons in response to RTC adoption and more likely to be aggressive towards their victims if they fear armed opposition. Guns carried outside the home because of RTC laws are potentially more likely to be lost or stolen, especially when left in motor vehicles, which can expand criminals’ access to guns. Finally, the presence of more guns can complicate the job of police and simply take up more police time as they process applications and check for permit validity when they confront armed citizens. The recent July 2016 shooting by police of concealed carry permit holder Philando Castile in Minnesota underscores how the introduction of a gun by a law-abiding citizen can end in tragedy.</w:t>
      </w:r>
    </w:p>
    <w:p w14:paraId="575EC8C5" w14:textId="77777777" w:rsidR="00B73CA9" w:rsidRDefault="00B73CA9" w:rsidP="00B73CA9">
      <w:pPr>
        <w:pStyle w:val="Contention2"/>
      </w:pPr>
      <w:bookmarkStart w:id="76" w:name="_Hlk501726366"/>
      <w:bookmarkStart w:id="77" w:name="_Toc505152538"/>
      <w:r>
        <w:t>Concealed carry could facilitate more shootings</w:t>
      </w:r>
      <w:bookmarkEnd w:id="77"/>
    </w:p>
    <w:p w14:paraId="6A490920" w14:textId="77777777" w:rsidR="00B73CA9" w:rsidRDefault="00B73CA9" w:rsidP="00B73CA9">
      <w:pPr>
        <w:pStyle w:val="Citation3"/>
      </w:pPr>
      <w:bookmarkStart w:id="78" w:name="_Toc505153006"/>
      <w:r w:rsidRPr="00F917CE">
        <w:rPr>
          <w:u w:val="single"/>
        </w:rPr>
        <w:t>Johns Hopkins</w:t>
      </w:r>
      <w:r>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6" w:history="1">
        <w:r w:rsidRPr="00F276CE">
          <w:rPr>
            <w:rStyle w:val="Hyperlink"/>
          </w:rPr>
          <w:t>https://www.jhsph.edu/research/centers-and-institutes/johns-hopkins-center-for-gun-policy-and-research/_pdfs/GunsOnCampus.pdf</w:t>
        </w:r>
        <w:bookmarkEnd w:id="78"/>
      </w:hyperlink>
    </w:p>
    <w:p w14:paraId="0EF00F7B" w14:textId="77777777" w:rsidR="00B73CA9" w:rsidRDefault="00B73CA9" w:rsidP="00B73CA9">
      <w:pPr>
        <w:pStyle w:val="Evidence"/>
        <w:rPr>
          <w:u w:val="single"/>
        </w:rPr>
      </w:pPr>
      <w:r w:rsidRPr="000240DD">
        <w:t>Of course, some incidents could potentially have led to mass shootings had an armed civilian not intervened quickly to prevent more casualties. Klarevas’s review of civilian-interrupted mass shootings would miss some instances of this sort. However</w:t>
      </w:r>
      <w:r w:rsidRPr="008D4989">
        <w:rPr>
          <w:u w:val="single"/>
        </w:rPr>
        <w:t>, allowing more civilians to carry firearms into more public places could also facilitate more mass shootings. The Violence Policy Center has tracked incidents in which a concealed carry weapon (CCW) permit holder was alleged to have committed various crimes of violence and unintentional shootings. They identified 29 CCW holders who perpetrated non-defensive shootings that involved three or more deaths not including the shooter during the period 2007-2015.</w:t>
      </w:r>
    </w:p>
    <w:p w14:paraId="2A8EA904" w14:textId="77777777" w:rsidR="00B73CA9" w:rsidRDefault="00B73CA9" w:rsidP="00B73CA9">
      <w:pPr>
        <w:pStyle w:val="Contention2"/>
      </w:pPr>
      <w:bookmarkStart w:id="79" w:name="_Toc505152539"/>
      <w:r>
        <w:t>High-fatality mass shootings INCREASED, after RTC (Right to Carry) laws were enacted</w:t>
      </w:r>
      <w:bookmarkEnd w:id="79"/>
    </w:p>
    <w:p w14:paraId="3DF6D54C" w14:textId="77777777" w:rsidR="00B73CA9" w:rsidRDefault="00B73CA9" w:rsidP="00B73CA9">
      <w:pPr>
        <w:pStyle w:val="Citation3"/>
      </w:pPr>
      <w:bookmarkStart w:id="80" w:name="_Toc505153007"/>
      <w:bookmarkEnd w:id="76"/>
      <w:r w:rsidRPr="00F917CE">
        <w:rPr>
          <w:u w:val="single"/>
        </w:rPr>
        <w:t>Johns Hopkins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7" w:history="1">
        <w:r w:rsidRPr="00F276CE">
          <w:rPr>
            <w:rStyle w:val="Hyperlink"/>
          </w:rPr>
          <w:t>https://www.jhsph.edu/research/centers-and-institutes/johns-hopkins-center-for-gun-policy-and-research/_pdfs/GunsOnCampus.pdf</w:t>
        </w:r>
        <w:bookmarkEnd w:id="80"/>
      </w:hyperlink>
    </w:p>
    <w:p w14:paraId="41618C17" w14:textId="77777777" w:rsidR="00B73CA9" w:rsidRPr="008B602C" w:rsidRDefault="00B73CA9" w:rsidP="00B73CA9">
      <w:pPr>
        <w:pStyle w:val="Evidence"/>
      </w:pPr>
      <w:r w:rsidRPr="008B602C">
        <w:t xml:space="preserve">Lott’s claims pertaining to mass shootings and RTC laws are also inconsistent with evidence about mass shootings assembled in Louis Klarevas’s forthcoming book on the topic. Klarevas collected data on 111 high-fatality mass shootings (6 or more people murdered with a gun) from 1966 through 2015. He found that in the 41 states that currently have RTC laws or no regulation of concealed carrying of firearms for legal gun owners, the average death toll in high-fatality mass shootings increased following the implementation of a RTC law from a mean of 7.5 before to 8.4 after the law. Moreover, this pattern of over eight fatalities per incident, on average, held well after five years, contradicting Lott’s assertion that mass shootings stop occurring within five years of the enactment of RTC laws. When Klarevas expanded his data set to include all 50 states and the District of Columbia, the average death toll in gun massacres was slightly higher in states and years where RTC laws were in place (8.4) than in states and years where there were no RTC laws in place (8.0). </w:t>
      </w:r>
    </w:p>
    <w:p w14:paraId="56483322" w14:textId="77777777" w:rsidR="00B73CA9" w:rsidRDefault="00B73CA9" w:rsidP="00B73CA9">
      <w:pPr>
        <w:pStyle w:val="Contention2"/>
      </w:pPr>
      <w:bookmarkStart w:id="81" w:name="_Toc505152540"/>
      <w:r>
        <w:lastRenderedPageBreak/>
        <w:t>Gun restrictions reduce violence because the presence of a gun escalates disputes and their consequences</w:t>
      </w:r>
      <w:bookmarkEnd w:id="81"/>
    </w:p>
    <w:p w14:paraId="2ADE84F5" w14:textId="77777777" w:rsidR="00B73CA9" w:rsidRDefault="00B73CA9" w:rsidP="00B73CA9">
      <w:pPr>
        <w:pStyle w:val="Citation3"/>
      </w:pPr>
      <w:bookmarkStart w:id="82" w:name="_Toc505153008"/>
      <w:r>
        <w:rPr>
          <w:u w:val="single"/>
        </w:rPr>
        <w:t>Los Angeles Times</w:t>
      </w:r>
      <w:r w:rsidRPr="004022FA">
        <w:rPr>
          <w:u w:val="single"/>
        </w:rPr>
        <w:t xml:space="preserve"> 2017</w:t>
      </w:r>
      <w:r>
        <w:t>.  (written by the LA TIMES</w:t>
      </w:r>
      <w:r w:rsidRPr="004022FA">
        <w:t xml:space="preserve"> editorial board</w:t>
      </w:r>
      <w:r>
        <w:t xml:space="preserve"> “</w:t>
      </w:r>
      <w:r w:rsidRPr="004022FA">
        <w:t>Editorial Allowing concealed weapons on college campuses is a silly, and dangerous, idea</w:t>
      </w:r>
      <w:r>
        <w:t xml:space="preserve">” January 17, 2017.  </w:t>
      </w:r>
      <w:hyperlink r:id="rId48" w:anchor="ampshare=http://www.latimes.com/opinion/editorials/la-ed-colleges-concealed-weapons-nra-20170110-story.html" w:history="1">
        <w:r w:rsidRPr="008339B9">
          <w:rPr>
            <w:rStyle w:val="Hyperlink"/>
          </w:rPr>
          <w:t>http://www.latimes.com/opinion/editorials/la-ed-colleges-concealed-weapons-nra-20170110-story.html#ampshare=http://www.latimes.com/opinion/editorials/la-ed-colleges-concealed-weapons-nra-20170110-story.html</w:t>
        </w:r>
        <w:bookmarkEnd w:id="82"/>
      </w:hyperlink>
    </w:p>
    <w:p w14:paraId="359F6A2B" w14:textId="77777777" w:rsidR="00B73CA9" w:rsidRDefault="00B73CA9" w:rsidP="00B73CA9">
      <w:pPr>
        <w:pStyle w:val="Evidence"/>
      </w:pPr>
      <w:r w:rsidRPr="004022FA">
        <w:t>Campus-carry advocates say that an armed America is a safer America. The NRA and its statehouse allies adhere to the disproved theory that a good guy with a gun will stop a bad guy with a gun, and thus the more firearms carried around, the safer society becomes. In fact, the opposite is true. Studies have found a correlation between higher statewide restrictions on access to guns and lower levels of gun violence in those states. Similarly, women in households where firearms are present are more likely to be shot to death by an intimate partner than they are to use it in self-defense. The presence of a gun makes an act of domestic violence much more likely to end in death.</w:t>
      </w:r>
    </w:p>
    <w:p w14:paraId="391B64B1" w14:textId="6AF29BA3" w:rsidR="00B73CA9" w:rsidRDefault="00B73CA9" w:rsidP="00B73CA9">
      <w:pPr>
        <w:pStyle w:val="Contention1"/>
      </w:pPr>
      <w:bookmarkStart w:id="83" w:name="_Toc505152541"/>
      <w:r>
        <w:t>4.  Complicates police intervention</w:t>
      </w:r>
      <w:bookmarkEnd w:id="83"/>
    </w:p>
    <w:p w14:paraId="62B7A87D" w14:textId="7849A509" w:rsidR="00B73CA9" w:rsidRDefault="00B73CA9" w:rsidP="00B73CA9">
      <w:pPr>
        <w:pStyle w:val="Contention2"/>
      </w:pPr>
      <w:bookmarkStart w:id="84" w:name="_Toc505152542"/>
      <w:r>
        <w:t>Police find situations more complicated, harder to de-escalate when everyone is armed.  Impact: More death and injury</w:t>
      </w:r>
      <w:bookmarkEnd w:id="84"/>
      <w:r>
        <w:t xml:space="preserve"> </w:t>
      </w:r>
    </w:p>
    <w:p w14:paraId="3AC7A258" w14:textId="77777777" w:rsidR="00B73CA9" w:rsidRDefault="00B73CA9" w:rsidP="00B73CA9">
      <w:pPr>
        <w:pStyle w:val="Citation3"/>
      </w:pPr>
      <w:bookmarkStart w:id="85" w:name="_Toc505153009"/>
      <w:r w:rsidRPr="00F917CE">
        <w:rPr>
          <w:u w:val="single"/>
        </w:rPr>
        <w:t>Johns Hopkins</w:t>
      </w:r>
      <w:r>
        <w:rPr>
          <w:u w:val="single"/>
        </w:rPr>
        <w:t xml:space="preserve"> University,</w:t>
      </w:r>
      <w:r w:rsidRPr="00F917CE">
        <w:rPr>
          <w:u w:val="single"/>
        </w:rPr>
        <w:t xml:space="preserve"> 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49" w:history="1">
        <w:r w:rsidRPr="00F276CE">
          <w:rPr>
            <w:rStyle w:val="Hyperlink"/>
          </w:rPr>
          <w:t>https://www.jhsph.edu/research/centers-and-institutes/johns-hopkins-center-for-gun-policy-and-research/_pdfs/GunsOnCampus.pdf</w:t>
        </w:r>
        <w:bookmarkEnd w:id="85"/>
      </w:hyperlink>
    </w:p>
    <w:p w14:paraId="17ABE921" w14:textId="77777777" w:rsidR="00B73CA9" w:rsidRDefault="00B73CA9" w:rsidP="00B73CA9">
      <w:pPr>
        <w:pStyle w:val="Evidence"/>
      </w:pPr>
      <w:r w:rsidRPr="00B73CA9">
        <w:rPr>
          <w:u w:val="single"/>
        </w:rPr>
        <w:t>Proposals to allow guns on college campuses must consider the fact that serious assaults and suicide attempts – which are more likely to be lethal when firearms are present – are far more common than are the rampage shooting incidents that the policies are purported to prevent. Inserting more firearms into those assaults and suicide attempts by allowing more people to have firearms on campuses is likely to lead to more deaths and serious injuries</w:t>
      </w:r>
      <w:r w:rsidRPr="000240DD">
        <w:t>. A recent study identified 85 incidents of shootings or undesirable discharges of firearms on college campuses in the U.S. from January 2013 through June 2016. Only two of these 85 incidents (2.4%) involved a shooter on a rampage. The most common incidents were interpersonal disputes that escalated into gun violence (45%), premeditated acts of violence against an individual (12%), suicides or murder/suicides (12%), and unintentional shootings or discharges (9</w:t>
      </w:r>
      <w:r w:rsidRPr="00B73CA9">
        <w:rPr>
          <w:u w:val="single"/>
        </w:rPr>
        <w:t>%). Campus police much more commonly respond to a variety of violent and non-violent incidents than to rampage shootings. If those campus officers must assume that any given student is armed, this may compromise their ability to effectively respond to, and de-escalate, these incidents.</w:t>
      </w:r>
    </w:p>
    <w:p w14:paraId="0B5D5D30" w14:textId="3C4D4EF8" w:rsidR="009A2DD0" w:rsidRDefault="00B73CA9" w:rsidP="00B73CA9">
      <w:pPr>
        <w:pStyle w:val="Contention1"/>
        <w:ind w:left="360"/>
      </w:pPr>
      <w:bookmarkStart w:id="86" w:name="_Toc505152543"/>
      <w:r>
        <w:lastRenderedPageBreak/>
        <w:t xml:space="preserve">5. </w:t>
      </w:r>
      <w:r w:rsidR="009A2DD0">
        <w:t>Drunk guys with guns</w:t>
      </w:r>
      <w:bookmarkEnd w:id="86"/>
      <w:r w:rsidR="009A2DD0">
        <w:t xml:space="preserve"> </w:t>
      </w:r>
    </w:p>
    <w:p w14:paraId="798E1850" w14:textId="5DB40438" w:rsidR="009B56A4" w:rsidRDefault="009B56A4" w:rsidP="009B56A4">
      <w:pPr>
        <w:pStyle w:val="Contention2"/>
      </w:pPr>
      <w:bookmarkStart w:id="87" w:name="_Toc505152544"/>
      <w:r>
        <w:t>Link: College drinking environment may lead to violence</w:t>
      </w:r>
      <w:bookmarkEnd w:id="87"/>
      <w:r>
        <w:t xml:space="preserve"> </w:t>
      </w:r>
    </w:p>
    <w:p w14:paraId="323E3291" w14:textId="45D9A9E5" w:rsidR="009B56A4" w:rsidRDefault="009B56A4" w:rsidP="009B56A4">
      <w:pPr>
        <w:pStyle w:val="Citation3"/>
      </w:pPr>
      <w:bookmarkStart w:id="88" w:name="_Toc505153010"/>
      <w:r w:rsidRPr="00F917CE">
        <w:rPr>
          <w:u w:val="single"/>
        </w:rPr>
        <w:t xml:space="preserve">Johns Hopkins </w:t>
      </w:r>
      <w:r w:rsidR="007409F4">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50" w:history="1">
        <w:r w:rsidRPr="00F276CE">
          <w:rPr>
            <w:rStyle w:val="Hyperlink"/>
          </w:rPr>
          <w:t>https://www.jhsph.edu/research/centers-and-institutes/johns-hopkins-center-for-gun-policy-and-research/_pdfs/GunsOnCampus.pdf</w:t>
        </w:r>
        <w:bookmarkEnd w:id="88"/>
      </w:hyperlink>
    </w:p>
    <w:p w14:paraId="72A02026" w14:textId="2C7D7F14" w:rsidR="009B56A4" w:rsidRDefault="009B56A4" w:rsidP="00F917CE">
      <w:pPr>
        <w:pStyle w:val="Evidence"/>
      </w:pPr>
      <w:r w:rsidRPr="009B56A4">
        <w:t>A large international literature has established a close association bet</w:t>
      </w:r>
      <w:r>
        <w:t>ween alcohol use and violence.</w:t>
      </w:r>
      <w:r w:rsidRPr="009B56A4">
        <w:t xml:space="preserve"> Culture can structure and determine the strength of this relationship through such variables as frequency of drinking to intoxication or consumption of high-alcohol beverages, and expectations about drinking behavior or the situational </w:t>
      </w:r>
      <w:r>
        <w:t>appropriateness of aggression.</w:t>
      </w:r>
      <w:r w:rsidRPr="009B56A4">
        <w:t xml:space="preserve"> College drinking cultures possess all of these attributes. U.S. college students drink frequently and at high levels: nearly 60% of 18-22 year-old college students reported drinking the past month; 37.9% reported binge drinking (defined as five or more drinks within two hours)</w:t>
      </w:r>
      <w:r>
        <w:t>.</w:t>
      </w:r>
      <w:r w:rsidRPr="009B56A4">
        <w:t xml:space="preserve"> Among young men in p</w:t>
      </w:r>
      <w:r>
        <w:t>articular, research has found</w:t>
      </w:r>
      <w:r w:rsidRPr="009B56A4">
        <w:t xml:space="preserve"> that expectations about the acceptability of violent action while intoxicated may precede actual acts of violence while drinking.88 Among college students, there appears to be a normative belief that abusive behavior is more common and less abusive when alcohol is involved for psychological and moderately severe physically abusive behaviors.</w:t>
      </w:r>
    </w:p>
    <w:p w14:paraId="1A676627" w14:textId="77777777" w:rsidR="009B56A4" w:rsidRDefault="009B56A4" w:rsidP="009B56A4">
      <w:pPr>
        <w:pStyle w:val="Contention2"/>
      </w:pPr>
      <w:bookmarkStart w:id="89" w:name="_Toc505152545"/>
      <w:r>
        <w:t>Brink: Guns make drinking environment more dangerous</w:t>
      </w:r>
      <w:bookmarkEnd w:id="89"/>
      <w:r>
        <w:t xml:space="preserve"> </w:t>
      </w:r>
    </w:p>
    <w:p w14:paraId="4C3DF43F" w14:textId="32F13727" w:rsidR="009B56A4" w:rsidRDefault="009B56A4" w:rsidP="009B56A4">
      <w:pPr>
        <w:pStyle w:val="Citation3"/>
      </w:pPr>
      <w:bookmarkStart w:id="90" w:name="_Toc505153011"/>
      <w:r w:rsidRPr="00F917CE">
        <w:rPr>
          <w:u w:val="single"/>
        </w:rPr>
        <w:t xml:space="preserve">Johns Hopkins </w:t>
      </w:r>
      <w:r w:rsidR="00D811CE">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51" w:history="1">
        <w:r w:rsidRPr="00F276CE">
          <w:rPr>
            <w:rStyle w:val="Hyperlink"/>
          </w:rPr>
          <w:t>https://www.jhsph.edu/research/centers-and-institutes/johns-hopkins-center-for-gun-policy-and-research/_pdfs/GunsOnCampus.pdf</w:t>
        </w:r>
        <w:bookmarkEnd w:id="90"/>
      </w:hyperlink>
    </w:p>
    <w:p w14:paraId="0BC6B5F8" w14:textId="77777777" w:rsidR="009B56A4" w:rsidRPr="00847135" w:rsidRDefault="009B56A4" w:rsidP="009B56A4">
      <w:pPr>
        <w:pStyle w:val="Evidence"/>
      </w:pPr>
      <w:r w:rsidRPr="009B56A4">
        <w:t xml:space="preserve">Thus both culturally and ecologically, </w:t>
      </w:r>
      <w:r w:rsidRPr="00D811CE">
        <w:rPr>
          <w:u w:val="single"/>
        </w:rPr>
        <w:t>college campuses can present a “lit fire” in which interpersonal violence is prevalent (according to the Bureau of Justice Statistics, one in 10 college students has experienced a violent crime), and worsened by the addition of alcohol use. To this potentially incendiary situation should be added data on the relationship between gun ownership on college campuses and alcohol use. Two studies from the 1990s looked at this relationship. One found that students with guns were more likely to be binge drinkers and to need to start the day with alcohol; the other revealed that those who self-reported binge drinking or engaging in risky or aggressive behavior after drinking were not only more likely to have guns at college but also more likely to be threatened by a gun while at college</w:t>
      </w:r>
      <w:r w:rsidRPr="009B56A4">
        <w:t>.</w:t>
      </w:r>
    </w:p>
    <w:p w14:paraId="6580E8B2" w14:textId="222E3D48" w:rsidR="009B56A4" w:rsidRDefault="009B56A4" w:rsidP="009B56A4">
      <w:pPr>
        <w:pStyle w:val="Contention2"/>
      </w:pPr>
      <w:bookmarkStart w:id="91" w:name="_Toc505152546"/>
      <w:r>
        <w:t xml:space="preserve">Impact: </w:t>
      </w:r>
      <w:r w:rsidR="007B0453">
        <w:t xml:space="preserve">Violence &amp; </w:t>
      </w:r>
      <w:r>
        <w:t>Death. Alcohol-related violence high in college populations</w:t>
      </w:r>
      <w:bookmarkEnd w:id="91"/>
      <w:r>
        <w:t xml:space="preserve"> </w:t>
      </w:r>
    </w:p>
    <w:p w14:paraId="0FD75FFF" w14:textId="6ADD91CE" w:rsidR="009B56A4" w:rsidRDefault="009B56A4" w:rsidP="009B56A4">
      <w:pPr>
        <w:pStyle w:val="Citation3"/>
      </w:pPr>
      <w:bookmarkStart w:id="92" w:name="_Toc505153012"/>
      <w:r w:rsidRPr="00F917CE">
        <w:rPr>
          <w:u w:val="single"/>
        </w:rPr>
        <w:t xml:space="preserve">Johns Hopkins </w:t>
      </w:r>
      <w:r w:rsidR="00D811CE">
        <w:rPr>
          <w:u w:val="single"/>
        </w:rPr>
        <w:t xml:space="preserve">University, </w:t>
      </w:r>
      <w:r w:rsidRPr="00F917CE">
        <w:rPr>
          <w:u w:val="single"/>
        </w:rPr>
        <w:t>Bloomberg School of Public Health, 2016.</w:t>
      </w:r>
      <w:r>
        <w:t xml:space="preserve"> (Prepared by </w:t>
      </w:r>
      <w:r w:rsidRPr="00F917CE">
        <w:t>Daniel W. Webster, ScD, MPH John J. Donohue III, PhD, JD Louis Klarevas, PhD Cassandra K. Crifasi, PhD, MPH Jon S. Vernick, JD, MPH David Jernigan, PhD Holly C. Wilcox, PhD Sara B. Johnson, PhD, MPH Sheldon Greenberg, PhD Emma E. McGinty, PhD, MS</w:t>
      </w:r>
      <w:r>
        <w:t>)</w:t>
      </w:r>
      <w:r w:rsidRPr="00F917CE">
        <w:t xml:space="preserve"> </w:t>
      </w:r>
      <w:r>
        <w:t>“</w:t>
      </w:r>
      <w:r w:rsidRPr="00F917CE">
        <w:t>Firearms on College Campuses: Research Evidence and Policy Implications</w:t>
      </w:r>
      <w:r>
        <w:t>”</w:t>
      </w:r>
      <w:r w:rsidRPr="00F917CE">
        <w:t xml:space="preserve"> October 15, 2016</w:t>
      </w:r>
      <w:r>
        <w:t xml:space="preserve">. </w:t>
      </w:r>
      <w:hyperlink r:id="rId52" w:history="1">
        <w:r w:rsidRPr="00F276CE">
          <w:rPr>
            <w:rStyle w:val="Hyperlink"/>
          </w:rPr>
          <w:t>https://www.jhsph.edu/research/centers-and-institutes/johns-hopkins-center-for-gun-policy-and-research/_pdfs/GunsOnCampus.pdf</w:t>
        </w:r>
        <w:bookmarkEnd w:id="92"/>
      </w:hyperlink>
    </w:p>
    <w:p w14:paraId="265F9A1B" w14:textId="541A3F11" w:rsidR="009B56A4" w:rsidRDefault="009B56A4" w:rsidP="00F917CE">
      <w:pPr>
        <w:pStyle w:val="Evidence"/>
      </w:pPr>
      <w:r w:rsidRPr="009B56A4">
        <w:t>The interaction between college drinking cultures and violent behavior helps to explain the high prevalence of alcohol-related violence in college populations. In the general population, CDC estimates that every year, there are 7,756 homicides attributable to alcohol use; 1,269 of these happ</w:t>
      </w:r>
      <w:r>
        <w:t>en to persons younger than 21.</w:t>
      </w:r>
      <w:r w:rsidRPr="009B56A4">
        <w:t xml:space="preserve"> Hingson et al. have estimated that 600,000 college students annually are assaulted by another student who has been drinking.91 The Bureau of Justice Statistics reported that alcohol was involved in 41% of on-campus violence and 37% of off-campus violence for students who lived on campus, and 18% of on-campus violence and 31% of off-campus violence for students living off campus.</w:t>
      </w:r>
    </w:p>
    <w:p w14:paraId="38DAF037" w14:textId="6FEBE8AE" w:rsidR="00A623F0" w:rsidRDefault="00834704" w:rsidP="00834704">
      <w:pPr>
        <w:pStyle w:val="Title"/>
      </w:pPr>
      <w:r>
        <w:lastRenderedPageBreak/>
        <w:t>Works Cited</w:t>
      </w:r>
    </w:p>
    <w:p w14:paraId="27D2CDE7" w14:textId="790AB463" w:rsidR="00834704" w:rsidRPr="00834704" w:rsidRDefault="00834704" w:rsidP="00834704">
      <w:pPr>
        <w:pStyle w:val="ListParagraph"/>
        <w:numPr>
          <w:ilvl w:val="0"/>
          <w:numId w:val="29"/>
        </w:numPr>
      </w:pPr>
      <w:r w:rsidRPr="00834704">
        <w:t>Johns Hopkins University, Bloomberg School of Public Health, 2016. (Prepared by Daniel W. Webster, ScD, MPH John J. Donohue III, PhD, JD Louis Klarevas, PhD Cassandra K. Crifasi, PhD, MPH Jon S. Vernick, JD, MPH David Jernigan, PhD Holly C. Wilcox, PhD Sara B. Johnson, PhD, MPH Sheldon Greenberg, PhD Emma E. McGinty, PhD, MS) “Firearms on College Campuses: Research Evidence and Policy Implications” October 15, 2016. https://www.jhsph.edu/research/centers-and-institutes/johns-hopkins-center-for-gun-policy-and-research/_pdfs/GunsOnCampus.pdf (Brackets added)</w:t>
      </w:r>
    </w:p>
    <w:p w14:paraId="5D31ED02" w14:textId="7031C3DF" w:rsidR="00834704" w:rsidRPr="00834704" w:rsidRDefault="00834704" w:rsidP="00834704">
      <w:pPr>
        <w:pStyle w:val="ListParagraph"/>
        <w:numPr>
          <w:ilvl w:val="0"/>
          <w:numId w:val="29"/>
        </w:numPr>
      </w:pPr>
      <w:r w:rsidRPr="00834704">
        <w:t>Los Angeles Times 2017.  (written by the LA TIMES editorial board “Editorial Allowing concealed weapons on college campuses is a silly, and dangerous, idea” January 17, 2017.  http://www.latimes.com/opinion/editorials/la-ed-colleges-concealed-weapons-nra-20170110-story.html#ampshare=http://www.latimes.com/opinion/editorials/la-ed-colleges-concealed-weapons-nra-20170110-story.html</w:t>
      </w:r>
    </w:p>
    <w:p w14:paraId="5F5E5A9D" w14:textId="6E27F5D6" w:rsidR="00834704" w:rsidRPr="00834704" w:rsidRDefault="00834704" w:rsidP="00834704">
      <w:pPr>
        <w:pStyle w:val="ListParagraph"/>
        <w:numPr>
          <w:ilvl w:val="0"/>
          <w:numId w:val="29"/>
        </w:numPr>
      </w:pPr>
      <w:r w:rsidRPr="00834704">
        <w:t>Abby Jackson and Skye Gould, 2017. (Jackson: On Business Insider’s education team. She worked in education policy in Washington, DC, dealing with standards-based reform and the Common Core. She graduated from Yale University with a degree in political science. Skye is a Senior Graphic Designer for Business Insider.) “10 states allow guns on college campuses and 16 more are considering it” Apr. 27, 2017. http://www.businessinsider.com/states-that-allow-guns-on-college-campuses-2017-4#ampshare=http://www.businessinsider.com/states-that-allow-guns-on-college-campuses-2017-4</w:t>
      </w:r>
    </w:p>
    <w:p w14:paraId="0F3CD541" w14:textId="1ABDB6DE" w:rsidR="00834704" w:rsidRPr="00834704" w:rsidRDefault="00834704" w:rsidP="00834704">
      <w:pPr>
        <w:pStyle w:val="ListParagraph"/>
        <w:numPr>
          <w:ilvl w:val="0"/>
          <w:numId w:val="29"/>
        </w:numPr>
      </w:pPr>
      <w:r w:rsidRPr="00834704">
        <w:t>The Editorial Board, USA TODAY, 2015. (USA TODAY's editorial opinions are decided by its Editorial Board, separate from the news staff. )“Campus-carry gun laws won't make colleges safer: Our view” June 8, 2015. https://www.usatoday.com/story/opinion/2015/06/08/guns-handguns-concealed-carry-college-campus-texas-legislature-editorials-debates/28688893/#ampshare=https://www.usatoday.com/story/opinion/2015/06/08/guns-handguns-concealed-carry-college-campus-texas-legislature-editorials-debates/28688893/</w:t>
      </w:r>
    </w:p>
    <w:p w14:paraId="13493F4A" w14:textId="31170847" w:rsidR="00834704" w:rsidRPr="00834704" w:rsidRDefault="00834704" w:rsidP="00834704">
      <w:pPr>
        <w:pStyle w:val="ListParagraph"/>
        <w:numPr>
          <w:ilvl w:val="0"/>
          <w:numId w:val="29"/>
        </w:numPr>
      </w:pPr>
      <w:r w:rsidRPr="00834704">
        <w:t>Los Angeles Times, 2017.  (LA TIMES editorial board, in consultation with the publisher, determines the editorial positions of the organization) “Editorial Allowing concealed weapons on college campuses is a silly, and dangerous, idea” January 17, 2017.  http://www.latimes.com/opinion/editorials/la-ed-colleges-concealed-weapons-nra-20170110-story.html#ampshare=http://www.latimes.com/opinion/editorials/la-ed-colleges-concealed-weapons-nra-20170110-story.html</w:t>
      </w:r>
    </w:p>
    <w:p w14:paraId="484A5F62" w14:textId="03D3C0EA" w:rsidR="00834704" w:rsidRPr="00834704" w:rsidRDefault="00834704" w:rsidP="00834704">
      <w:pPr>
        <w:pStyle w:val="ListParagraph"/>
        <w:numPr>
          <w:ilvl w:val="0"/>
          <w:numId w:val="29"/>
        </w:numPr>
      </w:pPr>
      <w:r w:rsidRPr="00834704">
        <w:t>Prof. Nate Kreuter, 2016. (assistant professor in the English department at Western Carolina University, where he teaches writing and rhetoric.) “Concealed in Our Classrooms” April 12, 2016. https://www.insidehighered.com/views/2016/04/12/key-arguments-concealed-carry-campuses-dont-hold-essay</w:t>
      </w:r>
      <w:bookmarkStart w:id="93" w:name="_GoBack"/>
      <w:bookmarkEnd w:id="93"/>
    </w:p>
    <w:sectPr w:rsidR="00834704" w:rsidRPr="00834704" w:rsidSect="002B5BD4">
      <w:headerReference w:type="default" r:id="rId5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838EA" w14:textId="77777777" w:rsidR="008702B3" w:rsidRDefault="008702B3" w:rsidP="001D5FD6">
      <w:pPr>
        <w:spacing w:after="0" w:line="240" w:lineRule="auto"/>
      </w:pPr>
      <w:r>
        <w:separator/>
      </w:r>
    </w:p>
  </w:endnote>
  <w:endnote w:type="continuationSeparator" w:id="0">
    <w:p w14:paraId="798D0A09" w14:textId="77777777" w:rsidR="008702B3" w:rsidRDefault="008702B3"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753CC" w14:textId="77777777" w:rsidR="00834704" w:rsidRDefault="00834704" w:rsidP="0083470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57B69">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57B69">
      <w:rPr>
        <w:noProof/>
        <w:sz w:val="24"/>
        <w:szCs w:val="24"/>
      </w:rPr>
      <w:t>18</w:t>
    </w:r>
    <w:r w:rsidRPr="0018486A">
      <w:rPr>
        <w:b w:val="0"/>
        <w:sz w:val="24"/>
        <w:szCs w:val="24"/>
      </w:rPr>
      <w:fldChar w:fldCharType="end"/>
    </w:r>
    <w:r>
      <w:tab/>
    </w:r>
    <w:r w:rsidRPr="0018486A">
      <w:rPr>
        <w:sz w:val="18"/>
        <w:szCs w:val="18"/>
      </w:rPr>
      <w:t xml:space="preserve"> </w:t>
    </w:r>
    <w:r>
      <w:rPr>
        <w:sz w:val="18"/>
        <w:szCs w:val="18"/>
      </w:rPr>
      <w:t>MonumentPublishing.com</w:t>
    </w:r>
  </w:p>
  <w:p w14:paraId="3A269BF1" w14:textId="77777777" w:rsidR="00834704" w:rsidRDefault="00834704" w:rsidP="00834704">
    <w:pPr>
      <w:pStyle w:val="Footer"/>
      <w:tabs>
        <w:tab w:val="clear" w:pos="4320"/>
        <w:tab w:val="clear" w:pos="8640"/>
        <w:tab w:val="center" w:pos="4680"/>
        <w:tab w:val="right" w:pos="9360"/>
      </w:tabs>
      <w:ind w:left="-720" w:right="-720"/>
      <w:jc w:val="left"/>
      <w:rPr>
        <w:b w:val="0"/>
        <w:i/>
        <w:smallCaps w:val="0"/>
        <w:sz w:val="15"/>
        <w:szCs w:val="15"/>
      </w:rPr>
    </w:pPr>
  </w:p>
  <w:p w14:paraId="428ECA50" w14:textId="7AF43F91" w:rsidR="00834704" w:rsidRDefault="00834704" w:rsidP="00834704">
    <w:pPr>
      <w:jc w:val="center"/>
    </w:pPr>
    <w:r w:rsidRPr="00B441D5">
      <w:rPr>
        <w:i/>
        <w:sz w:val="15"/>
        <w:szCs w:val="15"/>
      </w:rPr>
      <w:t xml:space="preserve">This release was published as part of Season </w:t>
    </w:r>
    <w:r>
      <w:rPr>
        <w:i/>
        <w:sz w:val="15"/>
        <w:szCs w:val="15"/>
      </w:rPr>
      <w:t>18</w:t>
    </w:r>
    <w:r w:rsidRPr="00B441D5">
      <w:rPr>
        <w:i/>
        <w:sz w:val="15"/>
        <w:szCs w:val="15"/>
      </w:rPr>
      <w:t xml:space="preserve"> (201</w:t>
    </w:r>
    <w:r>
      <w:rPr>
        <w:i/>
        <w:sz w:val="15"/>
        <w:szCs w:val="15"/>
      </w:rPr>
      <w:t>7</w:t>
    </w:r>
    <w:r w:rsidRPr="00B441D5">
      <w:rPr>
        <w:i/>
        <w:sz w:val="15"/>
        <w:szCs w:val="15"/>
      </w:rPr>
      <w:t>-201</w:t>
    </w:r>
    <w:r>
      <w:rPr>
        <w:i/>
        <w:sz w:val="15"/>
        <w:szCs w:val="15"/>
      </w:rPr>
      <w:t>8</w:t>
    </w:r>
    <w:r w:rsidRPr="00B441D5">
      <w:rPr>
        <w:i/>
        <w:sz w:val="15"/>
        <w:szCs w:val="15"/>
      </w:rPr>
      <w:t xml:space="preserve">) school year for Policy Debaters. </w:t>
    </w:r>
    <w:r>
      <w:rPr>
        <w:i/>
        <w:sz w:val="15"/>
        <w:szCs w:val="15"/>
      </w:rPr>
      <w:t xml:space="preserve">See the member landing page for official release date and any notifications. </w:t>
    </w:r>
    <w:r w:rsidRPr="00B441D5">
      <w:rPr>
        <w:i/>
        <w:sz w:val="15"/>
        <w:szCs w:val="15"/>
      </w:rPr>
      <w:t xml:space="preserve">This is proprietary intellectual content and may not be </w:t>
    </w:r>
    <w:r>
      <w:rPr>
        <w:i/>
        <w:sz w:val="15"/>
        <w:szCs w:val="15"/>
      </w:rPr>
      <w:t xml:space="preserve">used </w:t>
    </w:r>
    <w:r w:rsidRPr="00B441D5">
      <w:rPr>
        <w:i/>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B52B4" w14:textId="77777777" w:rsidR="008702B3" w:rsidRDefault="008702B3" w:rsidP="001D5FD6">
      <w:pPr>
        <w:spacing w:after="0" w:line="240" w:lineRule="auto"/>
      </w:pPr>
      <w:r>
        <w:separator/>
      </w:r>
    </w:p>
  </w:footnote>
  <w:footnote w:type="continuationSeparator" w:id="0">
    <w:p w14:paraId="66A1D068" w14:textId="77777777" w:rsidR="008702B3" w:rsidRDefault="008702B3"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700AB" w14:textId="160E34FE" w:rsidR="00834704" w:rsidRDefault="00834704" w:rsidP="00AF1D3F">
    <w:pPr>
      <w:pStyle w:val="Footer"/>
    </w:pPr>
    <w:r>
      <w:t>NEGATIVE: Campus Carry – Guns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C55D3" w14:textId="2F8F03B6" w:rsidR="00834704" w:rsidRPr="00F04C23" w:rsidRDefault="00834704" w:rsidP="00F04C23">
    <w:pPr>
      <w:pStyle w:val="Footer"/>
      <w:tabs>
        <w:tab w:val="clear" w:pos="4320"/>
        <w:tab w:val="clear" w:pos="8640"/>
        <w:tab w:val="center" w:pos="4680"/>
        <w:tab w:val="right" w:pos="9360"/>
      </w:tabs>
      <w:rPr>
        <w:b w:val="0"/>
        <w:smallCaps w:val="0"/>
      </w:rPr>
    </w:pPr>
    <w:r>
      <w:t xml:space="preserve">NEGATIVE:  Campus Carry - Guns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7F058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6C00B48"/>
    <w:multiLevelType w:val="multilevel"/>
    <w:tmpl w:val="0FA2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B601DC"/>
    <w:multiLevelType w:val="hybridMultilevel"/>
    <w:tmpl w:val="9AB80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421C7B5A"/>
    <w:multiLevelType w:val="hybridMultilevel"/>
    <w:tmpl w:val="9AB802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2">
    <w:nsid w:val="5DE43043"/>
    <w:multiLevelType w:val="multilevel"/>
    <w:tmpl w:val="6DF83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270008"/>
    <w:multiLevelType w:val="multilevel"/>
    <w:tmpl w:val="E2CE9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24"/>
  </w:num>
  <w:num w:numId="3">
    <w:abstractNumId w:val="12"/>
  </w:num>
  <w:num w:numId="4">
    <w:abstractNumId w:val="18"/>
  </w:num>
  <w:num w:numId="5">
    <w:abstractNumId w:val="27"/>
  </w:num>
  <w:num w:numId="6">
    <w:abstractNumId w:val="14"/>
  </w:num>
  <w:num w:numId="7">
    <w:abstractNumId w:val="28"/>
  </w:num>
  <w:num w:numId="8">
    <w:abstractNumId w:val="25"/>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6"/>
  </w:num>
  <w:num w:numId="20">
    <w:abstractNumId w:val="21"/>
  </w:num>
  <w:num w:numId="21">
    <w:abstractNumId w:val="16"/>
  </w:num>
  <w:num w:numId="22">
    <w:abstractNumId w:val="11"/>
  </w:num>
  <w:num w:numId="23">
    <w:abstractNumId w:val="13"/>
  </w:num>
  <w:num w:numId="24">
    <w:abstractNumId w:val="23"/>
  </w:num>
  <w:num w:numId="25">
    <w:abstractNumId w:val="15"/>
  </w:num>
  <w:num w:numId="26">
    <w:abstractNumId w:val="22"/>
  </w:num>
  <w:num w:numId="27">
    <w:abstractNumId w:val="17"/>
  </w:num>
  <w:num w:numId="28">
    <w:abstractNumId w:val="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00C6"/>
    <w:rsid w:val="00000BBE"/>
    <w:rsid w:val="00003210"/>
    <w:rsid w:val="00005181"/>
    <w:rsid w:val="00005DB8"/>
    <w:rsid w:val="000113B4"/>
    <w:rsid w:val="00014264"/>
    <w:rsid w:val="0001646E"/>
    <w:rsid w:val="000240DD"/>
    <w:rsid w:val="00024F48"/>
    <w:rsid w:val="000255E0"/>
    <w:rsid w:val="00030BF5"/>
    <w:rsid w:val="00031436"/>
    <w:rsid w:val="000332D0"/>
    <w:rsid w:val="00041B14"/>
    <w:rsid w:val="00045559"/>
    <w:rsid w:val="00046432"/>
    <w:rsid w:val="00047D11"/>
    <w:rsid w:val="00050667"/>
    <w:rsid w:val="00051150"/>
    <w:rsid w:val="00054A0A"/>
    <w:rsid w:val="0005522D"/>
    <w:rsid w:val="00057B69"/>
    <w:rsid w:val="00060259"/>
    <w:rsid w:val="00062150"/>
    <w:rsid w:val="00063F40"/>
    <w:rsid w:val="00066FFB"/>
    <w:rsid w:val="0007056F"/>
    <w:rsid w:val="00071E1C"/>
    <w:rsid w:val="0008580D"/>
    <w:rsid w:val="00085EA4"/>
    <w:rsid w:val="0008674B"/>
    <w:rsid w:val="000877AD"/>
    <w:rsid w:val="00091F99"/>
    <w:rsid w:val="00093C2B"/>
    <w:rsid w:val="0009716A"/>
    <w:rsid w:val="000973F1"/>
    <w:rsid w:val="000B0848"/>
    <w:rsid w:val="000B504C"/>
    <w:rsid w:val="000B6B13"/>
    <w:rsid w:val="000C267D"/>
    <w:rsid w:val="000C2718"/>
    <w:rsid w:val="000C41CA"/>
    <w:rsid w:val="000C54F8"/>
    <w:rsid w:val="000D2954"/>
    <w:rsid w:val="000D3779"/>
    <w:rsid w:val="000D72C7"/>
    <w:rsid w:val="000E7BC2"/>
    <w:rsid w:val="000F546C"/>
    <w:rsid w:val="001025E8"/>
    <w:rsid w:val="001038BC"/>
    <w:rsid w:val="00103938"/>
    <w:rsid w:val="00106D9D"/>
    <w:rsid w:val="00110739"/>
    <w:rsid w:val="00111BDA"/>
    <w:rsid w:val="00113D47"/>
    <w:rsid w:val="00114B44"/>
    <w:rsid w:val="00123179"/>
    <w:rsid w:val="00125FD6"/>
    <w:rsid w:val="001261D7"/>
    <w:rsid w:val="00127573"/>
    <w:rsid w:val="0013546D"/>
    <w:rsid w:val="00144C14"/>
    <w:rsid w:val="001527CB"/>
    <w:rsid w:val="0015488C"/>
    <w:rsid w:val="0015678C"/>
    <w:rsid w:val="001618D2"/>
    <w:rsid w:val="001639DF"/>
    <w:rsid w:val="001648C0"/>
    <w:rsid w:val="00171D37"/>
    <w:rsid w:val="00175E4F"/>
    <w:rsid w:val="0018037A"/>
    <w:rsid w:val="001804BE"/>
    <w:rsid w:val="00184521"/>
    <w:rsid w:val="00190BCD"/>
    <w:rsid w:val="00190EE2"/>
    <w:rsid w:val="00190F49"/>
    <w:rsid w:val="00192E9C"/>
    <w:rsid w:val="00196952"/>
    <w:rsid w:val="001A0145"/>
    <w:rsid w:val="001A5B62"/>
    <w:rsid w:val="001A7B4E"/>
    <w:rsid w:val="001B6552"/>
    <w:rsid w:val="001B6C98"/>
    <w:rsid w:val="001C75F2"/>
    <w:rsid w:val="001D4000"/>
    <w:rsid w:val="001D44AD"/>
    <w:rsid w:val="001D5FD6"/>
    <w:rsid w:val="001E3C4C"/>
    <w:rsid w:val="001F0ADE"/>
    <w:rsid w:val="002012F7"/>
    <w:rsid w:val="00205289"/>
    <w:rsid w:val="00206650"/>
    <w:rsid w:val="002145C3"/>
    <w:rsid w:val="0021524F"/>
    <w:rsid w:val="002156C9"/>
    <w:rsid w:val="00222A27"/>
    <w:rsid w:val="00224CA1"/>
    <w:rsid w:val="002311CF"/>
    <w:rsid w:val="00236F83"/>
    <w:rsid w:val="00245E66"/>
    <w:rsid w:val="002506D4"/>
    <w:rsid w:val="0025133A"/>
    <w:rsid w:val="00251E63"/>
    <w:rsid w:val="00254038"/>
    <w:rsid w:val="002558C7"/>
    <w:rsid w:val="00264E3D"/>
    <w:rsid w:val="00272E2F"/>
    <w:rsid w:val="00276D6C"/>
    <w:rsid w:val="00277450"/>
    <w:rsid w:val="00282D8F"/>
    <w:rsid w:val="00283D08"/>
    <w:rsid w:val="00285587"/>
    <w:rsid w:val="00286774"/>
    <w:rsid w:val="002909C8"/>
    <w:rsid w:val="002937F2"/>
    <w:rsid w:val="002A1376"/>
    <w:rsid w:val="002B16FB"/>
    <w:rsid w:val="002B3348"/>
    <w:rsid w:val="002B3D72"/>
    <w:rsid w:val="002B5BD4"/>
    <w:rsid w:val="002B6837"/>
    <w:rsid w:val="002C00CC"/>
    <w:rsid w:val="002C1829"/>
    <w:rsid w:val="002C2C22"/>
    <w:rsid w:val="002D1F9C"/>
    <w:rsid w:val="002E29DB"/>
    <w:rsid w:val="002E4B7C"/>
    <w:rsid w:val="002E6B33"/>
    <w:rsid w:val="002F0D5F"/>
    <w:rsid w:val="002F131A"/>
    <w:rsid w:val="0030244D"/>
    <w:rsid w:val="003049EF"/>
    <w:rsid w:val="00307C0E"/>
    <w:rsid w:val="00313DAC"/>
    <w:rsid w:val="0031642D"/>
    <w:rsid w:val="00316FFD"/>
    <w:rsid w:val="00317422"/>
    <w:rsid w:val="003176F6"/>
    <w:rsid w:val="003252AF"/>
    <w:rsid w:val="003254E0"/>
    <w:rsid w:val="00325EA5"/>
    <w:rsid w:val="003276AB"/>
    <w:rsid w:val="00344D21"/>
    <w:rsid w:val="003456C1"/>
    <w:rsid w:val="00347AF5"/>
    <w:rsid w:val="00352BF2"/>
    <w:rsid w:val="0035318D"/>
    <w:rsid w:val="00355FD0"/>
    <w:rsid w:val="00361245"/>
    <w:rsid w:val="0037031E"/>
    <w:rsid w:val="0037198C"/>
    <w:rsid w:val="00380948"/>
    <w:rsid w:val="00383E33"/>
    <w:rsid w:val="00386E71"/>
    <w:rsid w:val="003902E6"/>
    <w:rsid w:val="0039081D"/>
    <w:rsid w:val="003935A4"/>
    <w:rsid w:val="00394FA5"/>
    <w:rsid w:val="00396439"/>
    <w:rsid w:val="00397517"/>
    <w:rsid w:val="003A35BA"/>
    <w:rsid w:val="003A4C89"/>
    <w:rsid w:val="003B09F9"/>
    <w:rsid w:val="003C2A4A"/>
    <w:rsid w:val="003C3445"/>
    <w:rsid w:val="003C43A2"/>
    <w:rsid w:val="003C63A8"/>
    <w:rsid w:val="003C7235"/>
    <w:rsid w:val="003D3786"/>
    <w:rsid w:val="003D3B0F"/>
    <w:rsid w:val="003D5D74"/>
    <w:rsid w:val="003D63A1"/>
    <w:rsid w:val="003E478B"/>
    <w:rsid w:val="003E530C"/>
    <w:rsid w:val="003E5C41"/>
    <w:rsid w:val="003E6942"/>
    <w:rsid w:val="003F070E"/>
    <w:rsid w:val="003F2977"/>
    <w:rsid w:val="003F3225"/>
    <w:rsid w:val="00400C14"/>
    <w:rsid w:val="0040196E"/>
    <w:rsid w:val="004022FA"/>
    <w:rsid w:val="0040304B"/>
    <w:rsid w:val="004051DC"/>
    <w:rsid w:val="0040551D"/>
    <w:rsid w:val="00405B1B"/>
    <w:rsid w:val="00406A2E"/>
    <w:rsid w:val="00407835"/>
    <w:rsid w:val="0041026B"/>
    <w:rsid w:val="00415F26"/>
    <w:rsid w:val="004220C9"/>
    <w:rsid w:val="004236FD"/>
    <w:rsid w:val="00423BBC"/>
    <w:rsid w:val="0042586E"/>
    <w:rsid w:val="00425F5C"/>
    <w:rsid w:val="00426191"/>
    <w:rsid w:val="00427026"/>
    <w:rsid w:val="00432DB9"/>
    <w:rsid w:val="0043538B"/>
    <w:rsid w:val="00437C17"/>
    <w:rsid w:val="00440680"/>
    <w:rsid w:val="00444BA9"/>
    <w:rsid w:val="00454543"/>
    <w:rsid w:val="00454B16"/>
    <w:rsid w:val="00454C70"/>
    <w:rsid w:val="004558B9"/>
    <w:rsid w:val="0045767E"/>
    <w:rsid w:val="004639D6"/>
    <w:rsid w:val="004731D9"/>
    <w:rsid w:val="00474736"/>
    <w:rsid w:val="0047603D"/>
    <w:rsid w:val="00476426"/>
    <w:rsid w:val="00482571"/>
    <w:rsid w:val="0048699C"/>
    <w:rsid w:val="00490ED5"/>
    <w:rsid w:val="0049656E"/>
    <w:rsid w:val="004969CB"/>
    <w:rsid w:val="004A276D"/>
    <w:rsid w:val="004A52D6"/>
    <w:rsid w:val="004C1246"/>
    <w:rsid w:val="004C128F"/>
    <w:rsid w:val="004D0571"/>
    <w:rsid w:val="004D3A60"/>
    <w:rsid w:val="004D7273"/>
    <w:rsid w:val="004F011F"/>
    <w:rsid w:val="004F049F"/>
    <w:rsid w:val="004F1A20"/>
    <w:rsid w:val="004F5653"/>
    <w:rsid w:val="00501F49"/>
    <w:rsid w:val="005028E8"/>
    <w:rsid w:val="005056FB"/>
    <w:rsid w:val="00510F8D"/>
    <w:rsid w:val="00512F04"/>
    <w:rsid w:val="00522D51"/>
    <w:rsid w:val="00527A0D"/>
    <w:rsid w:val="00530ECF"/>
    <w:rsid w:val="005315BB"/>
    <w:rsid w:val="005356A0"/>
    <w:rsid w:val="00546CD8"/>
    <w:rsid w:val="0055614F"/>
    <w:rsid w:val="00561A42"/>
    <w:rsid w:val="00565724"/>
    <w:rsid w:val="00565A9F"/>
    <w:rsid w:val="00565C56"/>
    <w:rsid w:val="00566548"/>
    <w:rsid w:val="00566D3D"/>
    <w:rsid w:val="00567729"/>
    <w:rsid w:val="00580579"/>
    <w:rsid w:val="00583AE1"/>
    <w:rsid w:val="00586297"/>
    <w:rsid w:val="005863B2"/>
    <w:rsid w:val="005912D6"/>
    <w:rsid w:val="00593922"/>
    <w:rsid w:val="005A01B9"/>
    <w:rsid w:val="005A087A"/>
    <w:rsid w:val="005A1D5C"/>
    <w:rsid w:val="005A2CC3"/>
    <w:rsid w:val="005A6136"/>
    <w:rsid w:val="005B0295"/>
    <w:rsid w:val="005B1D77"/>
    <w:rsid w:val="005B5A61"/>
    <w:rsid w:val="005B6ED3"/>
    <w:rsid w:val="005C2694"/>
    <w:rsid w:val="005D2321"/>
    <w:rsid w:val="005D26ED"/>
    <w:rsid w:val="005D278D"/>
    <w:rsid w:val="005D2C8B"/>
    <w:rsid w:val="005D3B40"/>
    <w:rsid w:val="005D7A5F"/>
    <w:rsid w:val="005E32C7"/>
    <w:rsid w:val="005E35A7"/>
    <w:rsid w:val="005E6AF9"/>
    <w:rsid w:val="005E6B7B"/>
    <w:rsid w:val="005F1B64"/>
    <w:rsid w:val="005F365F"/>
    <w:rsid w:val="005F7D93"/>
    <w:rsid w:val="00600DFA"/>
    <w:rsid w:val="00601554"/>
    <w:rsid w:val="006111B4"/>
    <w:rsid w:val="0061295A"/>
    <w:rsid w:val="00612F80"/>
    <w:rsid w:val="00616E3B"/>
    <w:rsid w:val="00617A96"/>
    <w:rsid w:val="00621CD7"/>
    <w:rsid w:val="006309CD"/>
    <w:rsid w:val="006339B1"/>
    <w:rsid w:val="00634678"/>
    <w:rsid w:val="006359AF"/>
    <w:rsid w:val="00641A51"/>
    <w:rsid w:val="006454BC"/>
    <w:rsid w:val="00651886"/>
    <w:rsid w:val="00651D24"/>
    <w:rsid w:val="006540DC"/>
    <w:rsid w:val="006549D2"/>
    <w:rsid w:val="006552F0"/>
    <w:rsid w:val="00661A43"/>
    <w:rsid w:val="00661CE2"/>
    <w:rsid w:val="006629BD"/>
    <w:rsid w:val="00664C0B"/>
    <w:rsid w:val="0066755D"/>
    <w:rsid w:val="00667E94"/>
    <w:rsid w:val="00671502"/>
    <w:rsid w:val="00671E91"/>
    <w:rsid w:val="00675E90"/>
    <w:rsid w:val="006768C0"/>
    <w:rsid w:val="00680009"/>
    <w:rsid w:val="00683A88"/>
    <w:rsid w:val="00685D14"/>
    <w:rsid w:val="00687D9A"/>
    <w:rsid w:val="00690019"/>
    <w:rsid w:val="00690236"/>
    <w:rsid w:val="00692A48"/>
    <w:rsid w:val="0069401C"/>
    <w:rsid w:val="00695215"/>
    <w:rsid w:val="006961C4"/>
    <w:rsid w:val="006A1074"/>
    <w:rsid w:val="006A1956"/>
    <w:rsid w:val="006A2221"/>
    <w:rsid w:val="006A2CBF"/>
    <w:rsid w:val="006A4DEB"/>
    <w:rsid w:val="006A5945"/>
    <w:rsid w:val="006A70E6"/>
    <w:rsid w:val="006A7828"/>
    <w:rsid w:val="006B33F8"/>
    <w:rsid w:val="006B462E"/>
    <w:rsid w:val="006B5C75"/>
    <w:rsid w:val="006C457B"/>
    <w:rsid w:val="006C4604"/>
    <w:rsid w:val="006C6302"/>
    <w:rsid w:val="006C7F2B"/>
    <w:rsid w:val="006D022F"/>
    <w:rsid w:val="006D18B4"/>
    <w:rsid w:val="006D3D2A"/>
    <w:rsid w:val="006D3F93"/>
    <w:rsid w:val="006D45D8"/>
    <w:rsid w:val="006D492C"/>
    <w:rsid w:val="006D783C"/>
    <w:rsid w:val="006E03C9"/>
    <w:rsid w:val="006E09E6"/>
    <w:rsid w:val="006E1D72"/>
    <w:rsid w:val="006E3552"/>
    <w:rsid w:val="006E63B3"/>
    <w:rsid w:val="006E6A8F"/>
    <w:rsid w:val="006E6F35"/>
    <w:rsid w:val="006E7C1C"/>
    <w:rsid w:val="006F0A91"/>
    <w:rsid w:val="006F1216"/>
    <w:rsid w:val="006F1409"/>
    <w:rsid w:val="006F1C43"/>
    <w:rsid w:val="00700114"/>
    <w:rsid w:val="00700B6B"/>
    <w:rsid w:val="00704618"/>
    <w:rsid w:val="00705051"/>
    <w:rsid w:val="00705A87"/>
    <w:rsid w:val="00711274"/>
    <w:rsid w:val="00717A76"/>
    <w:rsid w:val="00720189"/>
    <w:rsid w:val="00722F22"/>
    <w:rsid w:val="00723F29"/>
    <w:rsid w:val="0072413B"/>
    <w:rsid w:val="007254F4"/>
    <w:rsid w:val="00726240"/>
    <w:rsid w:val="00730059"/>
    <w:rsid w:val="00732989"/>
    <w:rsid w:val="007332D2"/>
    <w:rsid w:val="0073488F"/>
    <w:rsid w:val="00735D83"/>
    <w:rsid w:val="007367C6"/>
    <w:rsid w:val="00737FD8"/>
    <w:rsid w:val="007409F4"/>
    <w:rsid w:val="00744B8F"/>
    <w:rsid w:val="00744F2A"/>
    <w:rsid w:val="00752255"/>
    <w:rsid w:val="007524FF"/>
    <w:rsid w:val="0075587A"/>
    <w:rsid w:val="007564D5"/>
    <w:rsid w:val="00756E9F"/>
    <w:rsid w:val="00763B02"/>
    <w:rsid w:val="00765AA7"/>
    <w:rsid w:val="00771386"/>
    <w:rsid w:val="00773D2D"/>
    <w:rsid w:val="00776A32"/>
    <w:rsid w:val="007810C0"/>
    <w:rsid w:val="0078202A"/>
    <w:rsid w:val="00783D2E"/>
    <w:rsid w:val="007842F0"/>
    <w:rsid w:val="0078448F"/>
    <w:rsid w:val="00794BF1"/>
    <w:rsid w:val="007970B0"/>
    <w:rsid w:val="00797C57"/>
    <w:rsid w:val="007A4A5E"/>
    <w:rsid w:val="007A4C61"/>
    <w:rsid w:val="007A526C"/>
    <w:rsid w:val="007A58D8"/>
    <w:rsid w:val="007B0453"/>
    <w:rsid w:val="007B343F"/>
    <w:rsid w:val="007B374D"/>
    <w:rsid w:val="007B39AF"/>
    <w:rsid w:val="007B4BA3"/>
    <w:rsid w:val="007B5D38"/>
    <w:rsid w:val="007B64AE"/>
    <w:rsid w:val="007C2B7E"/>
    <w:rsid w:val="007D01E5"/>
    <w:rsid w:val="007D2883"/>
    <w:rsid w:val="007D530E"/>
    <w:rsid w:val="007E1D06"/>
    <w:rsid w:val="007E3357"/>
    <w:rsid w:val="007E7FA6"/>
    <w:rsid w:val="007F0F39"/>
    <w:rsid w:val="007F4042"/>
    <w:rsid w:val="00801E3C"/>
    <w:rsid w:val="00807595"/>
    <w:rsid w:val="008123C0"/>
    <w:rsid w:val="0081268E"/>
    <w:rsid w:val="00814883"/>
    <w:rsid w:val="00816871"/>
    <w:rsid w:val="00816935"/>
    <w:rsid w:val="008211CE"/>
    <w:rsid w:val="00834704"/>
    <w:rsid w:val="00834E17"/>
    <w:rsid w:val="00835E5E"/>
    <w:rsid w:val="008369C8"/>
    <w:rsid w:val="00844A8B"/>
    <w:rsid w:val="00845E68"/>
    <w:rsid w:val="00846411"/>
    <w:rsid w:val="00847135"/>
    <w:rsid w:val="00847706"/>
    <w:rsid w:val="0084787C"/>
    <w:rsid w:val="008512E0"/>
    <w:rsid w:val="0085270B"/>
    <w:rsid w:val="0085698E"/>
    <w:rsid w:val="00857CC2"/>
    <w:rsid w:val="00861736"/>
    <w:rsid w:val="00862483"/>
    <w:rsid w:val="00865419"/>
    <w:rsid w:val="008660F9"/>
    <w:rsid w:val="00867102"/>
    <w:rsid w:val="008702B3"/>
    <w:rsid w:val="008720D8"/>
    <w:rsid w:val="00874518"/>
    <w:rsid w:val="0087547C"/>
    <w:rsid w:val="008837AC"/>
    <w:rsid w:val="00884EDE"/>
    <w:rsid w:val="008874F7"/>
    <w:rsid w:val="00893539"/>
    <w:rsid w:val="00895B3E"/>
    <w:rsid w:val="00895C3D"/>
    <w:rsid w:val="00896317"/>
    <w:rsid w:val="00897401"/>
    <w:rsid w:val="008A4BD1"/>
    <w:rsid w:val="008A6883"/>
    <w:rsid w:val="008A7E94"/>
    <w:rsid w:val="008B0EB0"/>
    <w:rsid w:val="008B2CF0"/>
    <w:rsid w:val="008B33EC"/>
    <w:rsid w:val="008B602C"/>
    <w:rsid w:val="008B6C32"/>
    <w:rsid w:val="008C0FB9"/>
    <w:rsid w:val="008C3BCE"/>
    <w:rsid w:val="008D0F6B"/>
    <w:rsid w:val="008D3553"/>
    <w:rsid w:val="008D4989"/>
    <w:rsid w:val="008D6470"/>
    <w:rsid w:val="008E4409"/>
    <w:rsid w:val="008E5E01"/>
    <w:rsid w:val="008E733B"/>
    <w:rsid w:val="008F2444"/>
    <w:rsid w:val="008F29CB"/>
    <w:rsid w:val="008F55F0"/>
    <w:rsid w:val="00903DAF"/>
    <w:rsid w:val="00907969"/>
    <w:rsid w:val="00910B4E"/>
    <w:rsid w:val="009139CD"/>
    <w:rsid w:val="00921982"/>
    <w:rsid w:val="00922E6F"/>
    <w:rsid w:val="0092592E"/>
    <w:rsid w:val="00926DD4"/>
    <w:rsid w:val="00932C8D"/>
    <w:rsid w:val="00943D43"/>
    <w:rsid w:val="009446C4"/>
    <w:rsid w:val="00945B18"/>
    <w:rsid w:val="00946BA9"/>
    <w:rsid w:val="00950F5B"/>
    <w:rsid w:val="009541D9"/>
    <w:rsid w:val="00954FA6"/>
    <w:rsid w:val="00956E0D"/>
    <w:rsid w:val="009573A3"/>
    <w:rsid w:val="00961576"/>
    <w:rsid w:val="00966936"/>
    <w:rsid w:val="00975485"/>
    <w:rsid w:val="00975D70"/>
    <w:rsid w:val="00981D4F"/>
    <w:rsid w:val="00981F57"/>
    <w:rsid w:val="009846F9"/>
    <w:rsid w:val="00992714"/>
    <w:rsid w:val="00994A46"/>
    <w:rsid w:val="009A15AF"/>
    <w:rsid w:val="009A1D54"/>
    <w:rsid w:val="009A2CF2"/>
    <w:rsid w:val="009A2DD0"/>
    <w:rsid w:val="009A3524"/>
    <w:rsid w:val="009A7123"/>
    <w:rsid w:val="009B2549"/>
    <w:rsid w:val="009B2597"/>
    <w:rsid w:val="009B56A4"/>
    <w:rsid w:val="009B5944"/>
    <w:rsid w:val="009C0970"/>
    <w:rsid w:val="009C23FF"/>
    <w:rsid w:val="009D03AF"/>
    <w:rsid w:val="009D10AF"/>
    <w:rsid w:val="009D306A"/>
    <w:rsid w:val="009D5EC6"/>
    <w:rsid w:val="009E603C"/>
    <w:rsid w:val="009F06D9"/>
    <w:rsid w:val="009F1838"/>
    <w:rsid w:val="009F3F8C"/>
    <w:rsid w:val="009F6B9C"/>
    <w:rsid w:val="009F7090"/>
    <w:rsid w:val="00A00C36"/>
    <w:rsid w:val="00A027DF"/>
    <w:rsid w:val="00A0607F"/>
    <w:rsid w:val="00A105DB"/>
    <w:rsid w:val="00A12D73"/>
    <w:rsid w:val="00A14462"/>
    <w:rsid w:val="00A14E64"/>
    <w:rsid w:val="00A211DD"/>
    <w:rsid w:val="00A25462"/>
    <w:rsid w:val="00A25CAD"/>
    <w:rsid w:val="00A27B8C"/>
    <w:rsid w:val="00A31F34"/>
    <w:rsid w:val="00A34D1E"/>
    <w:rsid w:val="00A53707"/>
    <w:rsid w:val="00A5620C"/>
    <w:rsid w:val="00A623F0"/>
    <w:rsid w:val="00A645F2"/>
    <w:rsid w:val="00A6671F"/>
    <w:rsid w:val="00A6757D"/>
    <w:rsid w:val="00A73815"/>
    <w:rsid w:val="00A7407C"/>
    <w:rsid w:val="00A75E4E"/>
    <w:rsid w:val="00A84206"/>
    <w:rsid w:val="00A903C4"/>
    <w:rsid w:val="00A927F3"/>
    <w:rsid w:val="00A961A3"/>
    <w:rsid w:val="00AA06CB"/>
    <w:rsid w:val="00AA0712"/>
    <w:rsid w:val="00AA23E9"/>
    <w:rsid w:val="00AA3CD8"/>
    <w:rsid w:val="00AB133F"/>
    <w:rsid w:val="00AB1D4D"/>
    <w:rsid w:val="00AB3973"/>
    <w:rsid w:val="00AB5836"/>
    <w:rsid w:val="00AB6BB9"/>
    <w:rsid w:val="00AC2340"/>
    <w:rsid w:val="00AC5260"/>
    <w:rsid w:val="00AD2212"/>
    <w:rsid w:val="00AD23F4"/>
    <w:rsid w:val="00AD3A26"/>
    <w:rsid w:val="00AD530D"/>
    <w:rsid w:val="00AE1CE7"/>
    <w:rsid w:val="00AF1D3F"/>
    <w:rsid w:val="00AF2E95"/>
    <w:rsid w:val="00AF7D6A"/>
    <w:rsid w:val="00B10EA9"/>
    <w:rsid w:val="00B20BDA"/>
    <w:rsid w:val="00B259E2"/>
    <w:rsid w:val="00B25ADD"/>
    <w:rsid w:val="00B27503"/>
    <w:rsid w:val="00B3283D"/>
    <w:rsid w:val="00B333F0"/>
    <w:rsid w:val="00B44ABB"/>
    <w:rsid w:val="00B476BE"/>
    <w:rsid w:val="00B50E3A"/>
    <w:rsid w:val="00B551AB"/>
    <w:rsid w:val="00B602B3"/>
    <w:rsid w:val="00B6434A"/>
    <w:rsid w:val="00B67CC5"/>
    <w:rsid w:val="00B70132"/>
    <w:rsid w:val="00B73CA9"/>
    <w:rsid w:val="00B757B1"/>
    <w:rsid w:val="00B83537"/>
    <w:rsid w:val="00B84278"/>
    <w:rsid w:val="00BA20CC"/>
    <w:rsid w:val="00BB4EBE"/>
    <w:rsid w:val="00BB6FCB"/>
    <w:rsid w:val="00BC1FD0"/>
    <w:rsid w:val="00BC4AA5"/>
    <w:rsid w:val="00BC5179"/>
    <w:rsid w:val="00BC5EFB"/>
    <w:rsid w:val="00BD4D09"/>
    <w:rsid w:val="00BE0322"/>
    <w:rsid w:val="00BE1D58"/>
    <w:rsid w:val="00BE3904"/>
    <w:rsid w:val="00BF0100"/>
    <w:rsid w:val="00BF0444"/>
    <w:rsid w:val="00C01E49"/>
    <w:rsid w:val="00C10858"/>
    <w:rsid w:val="00C12657"/>
    <w:rsid w:val="00C16D21"/>
    <w:rsid w:val="00C31D03"/>
    <w:rsid w:val="00C370BE"/>
    <w:rsid w:val="00C37750"/>
    <w:rsid w:val="00C42CFB"/>
    <w:rsid w:val="00C43812"/>
    <w:rsid w:val="00C43E9A"/>
    <w:rsid w:val="00C534D2"/>
    <w:rsid w:val="00C53E31"/>
    <w:rsid w:val="00C56940"/>
    <w:rsid w:val="00C62092"/>
    <w:rsid w:val="00C67736"/>
    <w:rsid w:val="00C72F5D"/>
    <w:rsid w:val="00C74ED8"/>
    <w:rsid w:val="00C77680"/>
    <w:rsid w:val="00C81727"/>
    <w:rsid w:val="00C81FBC"/>
    <w:rsid w:val="00C848A8"/>
    <w:rsid w:val="00C87F85"/>
    <w:rsid w:val="00C90F41"/>
    <w:rsid w:val="00C936FD"/>
    <w:rsid w:val="00C9420E"/>
    <w:rsid w:val="00CA24B4"/>
    <w:rsid w:val="00CA3582"/>
    <w:rsid w:val="00CA709A"/>
    <w:rsid w:val="00CB0749"/>
    <w:rsid w:val="00CB1171"/>
    <w:rsid w:val="00CB5FB2"/>
    <w:rsid w:val="00CC4C58"/>
    <w:rsid w:val="00CC509E"/>
    <w:rsid w:val="00CC670D"/>
    <w:rsid w:val="00CC672D"/>
    <w:rsid w:val="00CC776B"/>
    <w:rsid w:val="00CD2A66"/>
    <w:rsid w:val="00CD304F"/>
    <w:rsid w:val="00CD60D5"/>
    <w:rsid w:val="00CD6A13"/>
    <w:rsid w:val="00CD78D5"/>
    <w:rsid w:val="00CE10A4"/>
    <w:rsid w:val="00CE3F31"/>
    <w:rsid w:val="00CE4367"/>
    <w:rsid w:val="00CF1D0E"/>
    <w:rsid w:val="00CF3A06"/>
    <w:rsid w:val="00CF5E42"/>
    <w:rsid w:val="00CF5EEC"/>
    <w:rsid w:val="00CF74BE"/>
    <w:rsid w:val="00CF79A8"/>
    <w:rsid w:val="00D017CF"/>
    <w:rsid w:val="00D01CA7"/>
    <w:rsid w:val="00D02725"/>
    <w:rsid w:val="00D047EC"/>
    <w:rsid w:val="00D053B6"/>
    <w:rsid w:val="00D10821"/>
    <w:rsid w:val="00D17EE7"/>
    <w:rsid w:val="00D20599"/>
    <w:rsid w:val="00D2159B"/>
    <w:rsid w:val="00D229F0"/>
    <w:rsid w:val="00D22C57"/>
    <w:rsid w:val="00D241A4"/>
    <w:rsid w:val="00D40A89"/>
    <w:rsid w:val="00D4338C"/>
    <w:rsid w:val="00D47FBB"/>
    <w:rsid w:val="00D52C45"/>
    <w:rsid w:val="00D60D81"/>
    <w:rsid w:val="00D61ACA"/>
    <w:rsid w:val="00D64019"/>
    <w:rsid w:val="00D659EF"/>
    <w:rsid w:val="00D71331"/>
    <w:rsid w:val="00D730AB"/>
    <w:rsid w:val="00D763D2"/>
    <w:rsid w:val="00D76BF5"/>
    <w:rsid w:val="00D808EB"/>
    <w:rsid w:val="00D80A81"/>
    <w:rsid w:val="00D811CE"/>
    <w:rsid w:val="00D82945"/>
    <w:rsid w:val="00D85DF0"/>
    <w:rsid w:val="00D91073"/>
    <w:rsid w:val="00D93513"/>
    <w:rsid w:val="00D93E69"/>
    <w:rsid w:val="00DA00E5"/>
    <w:rsid w:val="00DA2B2D"/>
    <w:rsid w:val="00DA723C"/>
    <w:rsid w:val="00DB377C"/>
    <w:rsid w:val="00DB3DDA"/>
    <w:rsid w:val="00DB4541"/>
    <w:rsid w:val="00DB5B27"/>
    <w:rsid w:val="00DB6570"/>
    <w:rsid w:val="00DB66BD"/>
    <w:rsid w:val="00DB7B94"/>
    <w:rsid w:val="00DC0670"/>
    <w:rsid w:val="00DC3094"/>
    <w:rsid w:val="00DC458D"/>
    <w:rsid w:val="00DC46E4"/>
    <w:rsid w:val="00DC4CE4"/>
    <w:rsid w:val="00DC701D"/>
    <w:rsid w:val="00DE0722"/>
    <w:rsid w:val="00DE1581"/>
    <w:rsid w:val="00DE2617"/>
    <w:rsid w:val="00DE4778"/>
    <w:rsid w:val="00DE4C62"/>
    <w:rsid w:val="00DF4259"/>
    <w:rsid w:val="00DF50C7"/>
    <w:rsid w:val="00E007E4"/>
    <w:rsid w:val="00E016A4"/>
    <w:rsid w:val="00E017EE"/>
    <w:rsid w:val="00E01D55"/>
    <w:rsid w:val="00E0318A"/>
    <w:rsid w:val="00E05126"/>
    <w:rsid w:val="00E05828"/>
    <w:rsid w:val="00E06EA8"/>
    <w:rsid w:val="00E21338"/>
    <w:rsid w:val="00E21CFD"/>
    <w:rsid w:val="00E24069"/>
    <w:rsid w:val="00E270EE"/>
    <w:rsid w:val="00E30060"/>
    <w:rsid w:val="00E30E9A"/>
    <w:rsid w:val="00E329C3"/>
    <w:rsid w:val="00E33B5F"/>
    <w:rsid w:val="00E351BF"/>
    <w:rsid w:val="00E361A5"/>
    <w:rsid w:val="00E36B8F"/>
    <w:rsid w:val="00E40ED7"/>
    <w:rsid w:val="00E420B3"/>
    <w:rsid w:val="00E42C4F"/>
    <w:rsid w:val="00E4330C"/>
    <w:rsid w:val="00E45781"/>
    <w:rsid w:val="00E50D30"/>
    <w:rsid w:val="00E52C0E"/>
    <w:rsid w:val="00E53492"/>
    <w:rsid w:val="00E60180"/>
    <w:rsid w:val="00E63304"/>
    <w:rsid w:val="00E6412D"/>
    <w:rsid w:val="00E6481C"/>
    <w:rsid w:val="00E661F9"/>
    <w:rsid w:val="00E6650C"/>
    <w:rsid w:val="00E70B3B"/>
    <w:rsid w:val="00E764F5"/>
    <w:rsid w:val="00E866F0"/>
    <w:rsid w:val="00E908C4"/>
    <w:rsid w:val="00E9112F"/>
    <w:rsid w:val="00E95CE0"/>
    <w:rsid w:val="00E97C4A"/>
    <w:rsid w:val="00EA283D"/>
    <w:rsid w:val="00EA7354"/>
    <w:rsid w:val="00EA7FEB"/>
    <w:rsid w:val="00EC11E7"/>
    <w:rsid w:val="00EC21D1"/>
    <w:rsid w:val="00EC226E"/>
    <w:rsid w:val="00EC27EF"/>
    <w:rsid w:val="00EC3169"/>
    <w:rsid w:val="00EC66A9"/>
    <w:rsid w:val="00EC6C29"/>
    <w:rsid w:val="00EC6C79"/>
    <w:rsid w:val="00ED0EEC"/>
    <w:rsid w:val="00ED169D"/>
    <w:rsid w:val="00ED4B23"/>
    <w:rsid w:val="00EE065C"/>
    <w:rsid w:val="00EE3E2F"/>
    <w:rsid w:val="00EF109B"/>
    <w:rsid w:val="00F00073"/>
    <w:rsid w:val="00F006BA"/>
    <w:rsid w:val="00F02239"/>
    <w:rsid w:val="00F0455B"/>
    <w:rsid w:val="00F04C23"/>
    <w:rsid w:val="00F14D49"/>
    <w:rsid w:val="00F20E65"/>
    <w:rsid w:val="00F21652"/>
    <w:rsid w:val="00F2448E"/>
    <w:rsid w:val="00F32431"/>
    <w:rsid w:val="00F34A94"/>
    <w:rsid w:val="00F359C3"/>
    <w:rsid w:val="00F43553"/>
    <w:rsid w:val="00F43E2B"/>
    <w:rsid w:val="00F4474D"/>
    <w:rsid w:val="00F447E3"/>
    <w:rsid w:val="00F44E6A"/>
    <w:rsid w:val="00F52873"/>
    <w:rsid w:val="00F538FD"/>
    <w:rsid w:val="00F55129"/>
    <w:rsid w:val="00F55D99"/>
    <w:rsid w:val="00F622BD"/>
    <w:rsid w:val="00F62473"/>
    <w:rsid w:val="00F63558"/>
    <w:rsid w:val="00F65DF7"/>
    <w:rsid w:val="00F70971"/>
    <w:rsid w:val="00F7723E"/>
    <w:rsid w:val="00F812BF"/>
    <w:rsid w:val="00F917CE"/>
    <w:rsid w:val="00F933C4"/>
    <w:rsid w:val="00F946F7"/>
    <w:rsid w:val="00FA1332"/>
    <w:rsid w:val="00FA13C2"/>
    <w:rsid w:val="00FA1FE6"/>
    <w:rsid w:val="00FA37EE"/>
    <w:rsid w:val="00FA41B5"/>
    <w:rsid w:val="00FB0BA9"/>
    <w:rsid w:val="00FB0D2B"/>
    <w:rsid w:val="00FB3BC3"/>
    <w:rsid w:val="00FB3F9E"/>
    <w:rsid w:val="00FB47D0"/>
    <w:rsid w:val="00FC4F08"/>
    <w:rsid w:val="00FC6B5A"/>
    <w:rsid w:val="00FC74DB"/>
    <w:rsid w:val="00FD2241"/>
    <w:rsid w:val="00FD47AA"/>
    <w:rsid w:val="00FD4BB0"/>
    <w:rsid w:val="00FE45F1"/>
    <w:rsid w:val="00FF65BE"/>
    <w:rsid w:val="00FF704C"/>
    <w:rsid w:val="00FF790E"/>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090513-A194-4576-902B-6C92AA8FA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paragraph" w:customStyle="1" w:styleId="ng-scope1">
    <w:name w:val="ng-scope1"/>
    <w:basedOn w:val="Normal"/>
    <w:rsid w:val="006E3552"/>
    <w:pPr>
      <w:spacing w:before="100" w:beforeAutospacing="1" w:after="100" w:afterAutospacing="1" w:line="240" w:lineRule="auto"/>
    </w:pPr>
    <w:rPr>
      <w:rFonts w:ascii="Times New Roman" w:eastAsia="Times New Roman" w:hAnsi="Times New Roman"/>
      <w:sz w:val="24"/>
      <w:szCs w:val="24"/>
    </w:rPr>
  </w:style>
  <w:style w:type="character" w:customStyle="1" w:styleId="byline">
    <w:name w:val="byline"/>
    <w:basedOn w:val="DefaultParagraphFont"/>
    <w:rsid w:val="00C74ED8"/>
  </w:style>
  <w:style w:type="paragraph" w:customStyle="1" w:styleId="story-body-text">
    <w:name w:val="story-body-text"/>
    <w:basedOn w:val="Normal"/>
    <w:rsid w:val="00A14E64"/>
    <w:pPr>
      <w:spacing w:before="100" w:beforeAutospacing="1" w:after="100" w:afterAutospacing="1" w:line="240" w:lineRule="auto"/>
    </w:pPr>
    <w:rPr>
      <w:rFonts w:ascii="Times New Roman" w:eastAsia="Times New Roman" w:hAnsi="Times New Roman"/>
      <w:sz w:val="24"/>
      <w:szCs w:val="24"/>
    </w:rPr>
  </w:style>
  <w:style w:type="character" w:customStyle="1" w:styleId="oneclick-link">
    <w:name w:val="oneclick-link"/>
    <w:basedOn w:val="DefaultParagraphFont"/>
    <w:rsid w:val="00192E9C"/>
  </w:style>
  <w:style w:type="character" w:customStyle="1" w:styleId="intro-colon">
    <w:name w:val="intro-colon"/>
    <w:basedOn w:val="DefaultParagraphFont"/>
    <w:rsid w:val="005B5A61"/>
  </w:style>
  <w:style w:type="character" w:customStyle="1" w:styleId="num">
    <w:name w:val="num"/>
    <w:basedOn w:val="DefaultParagraphFont"/>
    <w:rsid w:val="00407835"/>
  </w:style>
  <w:style w:type="character" w:customStyle="1" w:styleId="dt">
    <w:name w:val="dt"/>
    <w:basedOn w:val="DefaultParagraphFont"/>
    <w:rsid w:val="00407835"/>
  </w:style>
  <w:style w:type="character" w:customStyle="1" w:styleId="articletitle">
    <w:name w:val="articletitle"/>
    <w:basedOn w:val="DefaultParagraphFont"/>
    <w:rsid w:val="00954FA6"/>
  </w:style>
  <w:style w:type="character" w:customStyle="1" w:styleId="l6">
    <w:name w:val="l6"/>
    <w:basedOn w:val="DefaultParagraphFont"/>
    <w:rsid w:val="0040304B"/>
  </w:style>
  <w:style w:type="character" w:customStyle="1" w:styleId="EvidenceChar">
    <w:name w:val="Evidence Char"/>
    <w:basedOn w:val="DefaultParagraphFont"/>
    <w:link w:val="Evidence"/>
    <w:locked/>
    <w:rsid w:val="003C2A4A"/>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3C2A4A"/>
    <w:rPr>
      <w:rFonts w:ascii="Times New Roman" w:eastAsia="Times New Roman" w:hAnsi="Times New Roman"/>
      <w:b/>
      <w:bCs/>
      <w:color w:val="000000"/>
      <w:lang w:eastAsia="fr-FR"/>
    </w:rPr>
  </w:style>
  <w:style w:type="character" w:customStyle="1" w:styleId="UnresolvedMention">
    <w:name w:val="Unresolved Mention"/>
    <w:basedOn w:val="DefaultParagraphFont"/>
    <w:uiPriority w:val="99"/>
    <w:semiHidden/>
    <w:unhideWhenUsed/>
    <w:rsid w:val="000240DD"/>
    <w:rPr>
      <w:color w:val="808080"/>
      <w:shd w:val="clear" w:color="auto" w:fill="E6E6E6"/>
    </w:rPr>
  </w:style>
  <w:style w:type="paragraph" w:styleId="ListParagraph">
    <w:name w:val="List Paragraph"/>
    <w:basedOn w:val="Normal"/>
    <w:uiPriority w:val="72"/>
    <w:rsid w:val="008347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02426">
      <w:bodyDiv w:val="1"/>
      <w:marLeft w:val="0"/>
      <w:marRight w:val="0"/>
      <w:marTop w:val="0"/>
      <w:marBottom w:val="0"/>
      <w:divBdr>
        <w:top w:val="none" w:sz="0" w:space="0" w:color="auto"/>
        <w:left w:val="none" w:sz="0" w:space="0" w:color="auto"/>
        <w:bottom w:val="none" w:sz="0" w:space="0" w:color="auto"/>
        <w:right w:val="none" w:sz="0" w:space="0" w:color="auto"/>
      </w:divBdr>
    </w:div>
    <w:div w:id="37707995">
      <w:bodyDiv w:val="1"/>
      <w:marLeft w:val="0"/>
      <w:marRight w:val="0"/>
      <w:marTop w:val="0"/>
      <w:marBottom w:val="0"/>
      <w:divBdr>
        <w:top w:val="none" w:sz="0" w:space="0" w:color="auto"/>
        <w:left w:val="none" w:sz="0" w:space="0" w:color="auto"/>
        <w:bottom w:val="none" w:sz="0" w:space="0" w:color="auto"/>
        <w:right w:val="none" w:sz="0" w:space="0" w:color="auto"/>
      </w:divBdr>
    </w:div>
    <w:div w:id="48261440">
      <w:bodyDiv w:val="1"/>
      <w:marLeft w:val="0"/>
      <w:marRight w:val="0"/>
      <w:marTop w:val="0"/>
      <w:marBottom w:val="0"/>
      <w:divBdr>
        <w:top w:val="none" w:sz="0" w:space="0" w:color="auto"/>
        <w:left w:val="none" w:sz="0" w:space="0" w:color="auto"/>
        <w:bottom w:val="none" w:sz="0" w:space="0" w:color="auto"/>
        <w:right w:val="none" w:sz="0" w:space="0" w:color="auto"/>
      </w:divBdr>
    </w:div>
    <w:div w:id="52043853">
      <w:bodyDiv w:val="1"/>
      <w:marLeft w:val="0"/>
      <w:marRight w:val="0"/>
      <w:marTop w:val="0"/>
      <w:marBottom w:val="0"/>
      <w:divBdr>
        <w:top w:val="none" w:sz="0" w:space="0" w:color="auto"/>
        <w:left w:val="none" w:sz="0" w:space="0" w:color="auto"/>
        <w:bottom w:val="none" w:sz="0" w:space="0" w:color="auto"/>
        <w:right w:val="none" w:sz="0" w:space="0" w:color="auto"/>
      </w:divBdr>
    </w:div>
    <w:div w:id="52392334">
      <w:bodyDiv w:val="1"/>
      <w:marLeft w:val="0"/>
      <w:marRight w:val="0"/>
      <w:marTop w:val="0"/>
      <w:marBottom w:val="0"/>
      <w:divBdr>
        <w:top w:val="none" w:sz="0" w:space="0" w:color="auto"/>
        <w:left w:val="none" w:sz="0" w:space="0" w:color="auto"/>
        <w:bottom w:val="none" w:sz="0" w:space="0" w:color="auto"/>
        <w:right w:val="none" w:sz="0" w:space="0" w:color="auto"/>
      </w:divBdr>
      <w:divsChild>
        <w:div w:id="1125544183">
          <w:marLeft w:val="0"/>
          <w:marRight w:val="0"/>
          <w:marTop w:val="0"/>
          <w:marBottom w:val="75"/>
          <w:divBdr>
            <w:top w:val="none" w:sz="0" w:space="0" w:color="auto"/>
            <w:left w:val="none" w:sz="0" w:space="0" w:color="auto"/>
            <w:bottom w:val="none" w:sz="0" w:space="0" w:color="auto"/>
            <w:right w:val="none" w:sz="0" w:space="0" w:color="auto"/>
          </w:divBdr>
          <w:divsChild>
            <w:div w:id="3737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68042450">
      <w:bodyDiv w:val="1"/>
      <w:marLeft w:val="0"/>
      <w:marRight w:val="0"/>
      <w:marTop w:val="0"/>
      <w:marBottom w:val="0"/>
      <w:divBdr>
        <w:top w:val="none" w:sz="0" w:space="0" w:color="auto"/>
        <w:left w:val="none" w:sz="0" w:space="0" w:color="auto"/>
        <w:bottom w:val="none" w:sz="0" w:space="0" w:color="auto"/>
        <w:right w:val="none" w:sz="0" w:space="0" w:color="auto"/>
      </w:divBdr>
    </w:div>
    <w:div w:id="70009481">
      <w:bodyDiv w:val="1"/>
      <w:marLeft w:val="0"/>
      <w:marRight w:val="0"/>
      <w:marTop w:val="0"/>
      <w:marBottom w:val="0"/>
      <w:divBdr>
        <w:top w:val="none" w:sz="0" w:space="0" w:color="auto"/>
        <w:left w:val="none" w:sz="0" w:space="0" w:color="auto"/>
        <w:bottom w:val="none" w:sz="0" w:space="0" w:color="auto"/>
        <w:right w:val="none" w:sz="0" w:space="0" w:color="auto"/>
      </w:divBdr>
    </w:div>
    <w:div w:id="74977881">
      <w:bodyDiv w:val="1"/>
      <w:marLeft w:val="0"/>
      <w:marRight w:val="0"/>
      <w:marTop w:val="0"/>
      <w:marBottom w:val="0"/>
      <w:divBdr>
        <w:top w:val="none" w:sz="0" w:space="0" w:color="auto"/>
        <w:left w:val="none" w:sz="0" w:space="0" w:color="auto"/>
        <w:bottom w:val="none" w:sz="0" w:space="0" w:color="auto"/>
        <w:right w:val="none" w:sz="0" w:space="0" w:color="auto"/>
      </w:divBdr>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8076393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491988">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36606874">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195436925">
      <w:bodyDiv w:val="1"/>
      <w:marLeft w:val="0"/>
      <w:marRight w:val="0"/>
      <w:marTop w:val="0"/>
      <w:marBottom w:val="0"/>
      <w:divBdr>
        <w:top w:val="none" w:sz="0" w:space="0" w:color="auto"/>
        <w:left w:val="none" w:sz="0" w:space="0" w:color="auto"/>
        <w:bottom w:val="none" w:sz="0" w:space="0" w:color="auto"/>
        <w:right w:val="none" w:sz="0" w:space="0" w:color="auto"/>
      </w:divBdr>
      <w:divsChild>
        <w:div w:id="1509519375">
          <w:marLeft w:val="0"/>
          <w:marRight w:val="0"/>
          <w:marTop w:val="0"/>
          <w:marBottom w:val="0"/>
          <w:divBdr>
            <w:top w:val="none" w:sz="0" w:space="0" w:color="auto"/>
            <w:left w:val="none" w:sz="0" w:space="0" w:color="auto"/>
            <w:bottom w:val="none" w:sz="0" w:space="0" w:color="auto"/>
            <w:right w:val="none" w:sz="0" w:space="0" w:color="auto"/>
          </w:divBdr>
          <w:divsChild>
            <w:div w:id="2111270692">
              <w:marLeft w:val="0"/>
              <w:marRight w:val="0"/>
              <w:marTop w:val="0"/>
              <w:marBottom w:val="0"/>
              <w:divBdr>
                <w:top w:val="none" w:sz="0" w:space="0" w:color="auto"/>
                <w:left w:val="none" w:sz="0" w:space="0" w:color="auto"/>
                <w:bottom w:val="none" w:sz="0" w:space="0" w:color="auto"/>
                <w:right w:val="none" w:sz="0" w:space="0" w:color="auto"/>
              </w:divBdr>
              <w:divsChild>
                <w:div w:id="1141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00083">
      <w:bodyDiv w:val="1"/>
      <w:marLeft w:val="0"/>
      <w:marRight w:val="0"/>
      <w:marTop w:val="0"/>
      <w:marBottom w:val="0"/>
      <w:divBdr>
        <w:top w:val="none" w:sz="0" w:space="0" w:color="auto"/>
        <w:left w:val="none" w:sz="0" w:space="0" w:color="auto"/>
        <w:bottom w:val="none" w:sz="0" w:space="0" w:color="auto"/>
        <w:right w:val="none" w:sz="0" w:space="0" w:color="auto"/>
      </w:divBdr>
    </w:div>
    <w:div w:id="226033841">
      <w:bodyDiv w:val="1"/>
      <w:marLeft w:val="0"/>
      <w:marRight w:val="0"/>
      <w:marTop w:val="0"/>
      <w:marBottom w:val="0"/>
      <w:divBdr>
        <w:top w:val="none" w:sz="0" w:space="0" w:color="auto"/>
        <w:left w:val="none" w:sz="0" w:space="0" w:color="auto"/>
        <w:bottom w:val="none" w:sz="0" w:space="0" w:color="auto"/>
        <w:right w:val="none" w:sz="0" w:space="0" w:color="auto"/>
      </w:divBdr>
    </w:div>
    <w:div w:id="227346579">
      <w:bodyDiv w:val="1"/>
      <w:marLeft w:val="0"/>
      <w:marRight w:val="0"/>
      <w:marTop w:val="0"/>
      <w:marBottom w:val="0"/>
      <w:divBdr>
        <w:top w:val="none" w:sz="0" w:space="0" w:color="auto"/>
        <w:left w:val="none" w:sz="0" w:space="0" w:color="auto"/>
        <w:bottom w:val="none" w:sz="0" w:space="0" w:color="auto"/>
        <w:right w:val="none" w:sz="0" w:space="0" w:color="auto"/>
      </w:divBdr>
    </w:div>
    <w:div w:id="228196982">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687328">
      <w:bodyDiv w:val="1"/>
      <w:marLeft w:val="0"/>
      <w:marRight w:val="0"/>
      <w:marTop w:val="0"/>
      <w:marBottom w:val="0"/>
      <w:divBdr>
        <w:top w:val="none" w:sz="0" w:space="0" w:color="auto"/>
        <w:left w:val="none" w:sz="0" w:space="0" w:color="auto"/>
        <w:bottom w:val="none" w:sz="0" w:space="0" w:color="auto"/>
        <w:right w:val="none" w:sz="0" w:space="0" w:color="auto"/>
      </w:divBdr>
      <w:divsChild>
        <w:div w:id="36978683">
          <w:marLeft w:val="0"/>
          <w:marRight w:val="0"/>
          <w:marTop w:val="0"/>
          <w:marBottom w:val="0"/>
          <w:divBdr>
            <w:top w:val="none" w:sz="0" w:space="0" w:color="auto"/>
            <w:left w:val="none" w:sz="0" w:space="0" w:color="auto"/>
            <w:bottom w:val="none" w:sz="0" w:space="0" w:color="auto"/>
            <w:right w:val="none" w:sz="0" w:space="0" w:color="auto"/>
          </w:divBdr>
        </w:div>
        <w:div w:id="2095931719">
          <w:marLeft w:val="0"/>
          <w:marRight w:val="0"/>
          <w:marTop w:val="0"/>
          <w:marBottom w:val="0"/>
          <w:divBdr>
            <w:top w:val="none" w:sz="0" w:space="0" w:color="auto"/>
            <w:left w:val="none" w:sz="0" w:space="0" w:color="auto"/>
            <w:bottom w:val="none" w:sz="0" w:space="0" w:color="auto"/>
            <w:right w:val="none" w:sz="0" w:space="0" w:color="auto"/>
          </w:divBdr>
        </w:div>
      </w:divsChild>
    </w:div>
    <w:div w:id="297489523">
      <w:bodyDiv w:val="1"/>
      <w:marLeft w:val="0"/>
      <w:marRight w:val="0"/>
      <w:marTop w:val="0"/>
      <w:marBottom w:val="0"/>
      <w:divBdr>
        <w:top w:val="none" w:sz="0" w:space="0" w:color="auto"/>
        <w:left w:val="none" w:sz="0" w:space="0" w:color="auto"/>
        <w:bottom w:val="none" w:sz="0" w:space="0" w:color="auto"/>
        <w:right w:val="none" w:sz="0" w:space="0" w:color="auto"/>
      </w:divBdr>
    </w:div>
    <w:div w:id="299531334">
      <w:bodyDiv w:val="1"/>
      <w:marLeft w:val="0"/>
      <w:marRight w:val="0"/>
      <w:marTop w:val="0"/>
      <w:marBottom w:val="0"/>
      <w:divBdr>
        <w:top w:val="none" w:sz="0" w:space="0" w:color="auto"/>
        <w:left w:val="none" w:sz="0" w:space="0" w:color="auto"/>
        <w:bottom w:val="none" w:sz="0" w:space="0" w:color="auto"/>
        <w:right w:val="none" w:sz="0" w:space="0" w:color="auto"/>
      </w:divBdr>
    </w:div>
    <w:div w:id="302273115">
      <w:bodyDiv w:val="1"/>
      <w:marLeft w:val="0"/>
      <w:marRight w:val="0"/>
      <w:marTop w:val="0"/>
      <w:marBottom w:val="0"/>
      <w:divBdr>
        <w:top w:val="none" w:sz="0" w:space="0" w:color="auto"/>
        <w:left w:val="none" w:sz="0" w:space="0" w:color="auto"/>
        <w:bottom w:val="none" w:sz="0" w:space="0" w:color="auto"/>
        <w:right w:val="none" w:sz="0" w:space="0" w:color="auto"/>
      </w:divBdr>
      <w:divsChild>
        <w:div w:id="784618769">
          <w:marLeft w:val="0"/>
          <w:marRight w:val="0"/>
          <w:marTop w:val="0"/>
          <w:marBottom w:val="0"/>
          <w:divBdr>
            <w:top w:val="none" w:sz="0" w:space="0" w:color="auto"/>
            <w:left w:val="none" w:sz="0" w:space="0" w:color="auto"/>
            <w:bottom w:val="none" w:sz="0" w:space="0" w:color="auto"/>
            <w:right w:val="none" w:sz="0" w:space="0" w:color="auto"/>
          </w:divBdr>
        </w:div>
        <w:div w:id="2045401195">
          <w:marLeft w:val="0"/>
          <w:marRight w:val="0"/>
          <w:marTop w:val="0"/>
          <w:marBottom w:val="0"/>
          <w:divBdr>
            <w:top w:val="none" w:sz="0" w:space="0" w:color="auto"/>
            <w:left w:val="none" w:sz="0" w:space="0" w:color="auto"/>
            <w:bottom w:val="none" w:sz="0" w:space="0" w:color="auto"/>
            <w:right w:val="none" w:sz="0" w:space="0" w:color="auto"/>
          </w:divBdr>
        </w:div>
      </w:divsChild>
    </w:div>
    <w:div w:id="317224001">
      <w:bodyDiv w:val="1"/>
      <w:marLeft w:val="0"/>
      <w:marRight w:val="0"/>
      <w:marTop w:val="0"/>
      <w:marBottom w:val="0"/>
      <w:divBdr>
        <w:top w:val="none" w:sz="0" w:space="0" w:color="auto"/>
        <w:left w:val="none" w:sz="0" w:space="0" w:color="auto"/>
        <w:bottom w:val="none" w:sz="0" w:space="0" w:color="auto"/>
        <w:right w:val="none" w:sz="0" w:space="0" w:color="auto"/>
      </w:divBdr>
      <w:divsChild>
        <w:div w:id="2092191383">
          <w:marLeft w:val="0"/>
          <w:marRight w:val="0"/>
          <w:marTop w:val="0"/>
          <w:marBottom w:val="0"/>
          <w:divBdr>
            <w:top w:val="none" w:sz="0" w:space="0" w:color="auto"/>
            <w:left w:val="none" w:sz="0" w:space="0" w:color="auto"/>
            <w:bottom w:val="none" w:sz="0" w:space="0" w:color="auto"/>
            <w:right w:val="none" w:sz="0" w:space="0" w:color="auto"/>
          </w:divBdr>
          <w:divsChild>
            <w:div w:id="94897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4783">
      <w:bodyDiv w:val="1"/>
      <w:marLeft w:val="0"/>
      <w:marRight w:val="0"/>
      <w:marTop w:val="0"/>
      <w:marBottom w:val="0"/>
      <w:divBdr>
        <w:top w:val="none" w:sz="0" w:space="0" w:color="auto"/>
        <w:left w:val="none" w:sz="0" w:space="0" w:color="auto"/>
        <w:bottom w:val="none" w:sz="0" w:space="0" w:color="auto"/>
        <w:right w:val="none" w:sz="0" w:space="0" w:color="auto"/>
      </w:divBdr>
    </w:div>
    <w:div w:id="32855660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379493">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48416203">
      <w:bodyDiv w:val="1"/>
      <w:marLeft w:val="0"/>
      <w:marRight w:val="0"/>
      <w:marTop w:val="0"/>
      <w:marBottom w:val="0"/>
      <w:divBdr>
        <w:top w:val="none" w:sz="0" w:space="0" w:color="auto"/>
        <w:left w:val="none" w:sz="0" w:space="0" w:color="auto"/>
        <w:bottom w:val="none" w:sz="0" w:space="0" w:color="auto"/>
        <w:right w:val="none" w:sz="0" w:space="0" w:color="auto"/>
      </w:divBdr>
    </w:div>
    <w:div w:id="366103387">
      <w:bodyDiv w:val="1"/>
      <w:marLeft w:val="0"/>
      <w:marRight w:val="0"/>
      <w:marTop w:val="0"/>
      <w:marBottom w:val="0"/>
      <w:divBdr>
        <w:top w:val="none" w:sz="0" w:space="0" w:color="auto"/>
        <w:left w:val="none" w:sz="0" w:space="0" w:color="auto"/>
        <w:bottom w:val="none" w:sz="0" w:space="0" w:color="auto"/>
        <w:right w:val="none" w:sz="0" w:space="0" w:color="auto"/>
      </w:divBdr>
    </w:div>
    <w:div w:id="383793617">
      <w:bodyDiv w:val="1"/>
      <w:marLeft w:val="0"/>
      <w:marRight w:val="0"/>
      <w:marTop w:val="0"/>
      <w:marBottom w:val="0"/>
      <w:divBdr>
        <w:top w:val="none" w:sz="0" w:space="0" w:color="auto"/>
        <w:left w:val="none" w:sz="0" w:space="0" w:color="auto"/>
        <w:bottom w:val="none" w:sz="0" w:space="0" w:color="auto"/>
        <w:right w:val="none" w:sz="0" w:space="0" w:color="auto"/>
      </w:divBdr>
    </w:div>
    <w:div w:id="39173663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03797859">
      <w:bodyDiv w:val="1"/>
      <w:marLeft w:val="0"/>
      <w:marRight w:val="0"/>
      <w:marTop w:val="0"/>
      <w:marBottom w:val="0"/>
      <w:divBdr>
        <w:top w:val="none" w:sz="0" w:space="0" w:color="auto"/>
        <w:left w:val="none" w:sz="0" w:space="0" w:color="auto"/>
        <w:bottom w:val="none" w:sz="0" w:space="0" w:color="auto"/>
        <w:right w:val="none" w:sz="0" w:space="0" w:color="auto"/>
      </w:divBdr>
    </w:div>
    <w:div w:id="404642332">
      <w:bodyDiv w:val="1"/>
      <w:marLeft w:val="0"/>
      <w:marRight w:val="0"/>
      <w:marTop w:val="0"/>
      <w:marBottom w:val="0"/>
      <w:divBdr>
        <w:top w:val="none" w:sz="0" w:space="0" w:color="auto"/>
        <w:left w:val="none" w:sz="0" w:space="0" w:color="auto"/>
        <w:bottom w:val="none" w:sz="0" w:space="0" w:color="auto"/>
        <w:right w:val="none" w:sz="0" w:space="0" w:color="auto"/>
      </w:divBdr>
    </w:div>
    <w:div w:id="408693753">
      <w:bodyDiv w:val="1"/>
      <w:marLeft w:val="0"/>
      <w:marRight w:val="0"/>
      <w:marTop w:val="0"/>
      <w:marBottom w:val="0"/>
      <w:divBdr>
        <w:top w:val="none" w:sz="0" w:space="0" w:color="auto"/>
        <w:left w:val="none" w:sz="0" w:space="0" w:color="auto"/>
        <w:bottom w:val="none" w:sz="0" w:space="0" w:color="auto"/>
        <w:right w:val="none" w:sz="0" w:space="0" w:color="auto"/>
      </w:divBdr>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13358990">
      <w:bodyDiv w:val="1"/>
      <w:marLeft w:val="0"/>
      <w:marRight w:val="0"/>
      <w:marTop w:val="0"/>
      <w:marBottom w:val="0"/>
      <w:divBdr>
        <w:top w:val="none" w:sz="0" w:space="0" w:color="auto"/>
        <w:left w:val="none" w:sz="0" w:space="0" w:color="auto"/>
        <w:bottom w:val="none" w:sz="0" w:space="0" w:color="auto"/>
        <w:right w:val="none" w:sz="0" w:space="0" w:color="auto"/>
      </w:divBdr>
    </w:div>
    <w:div w:id="438909610">
      <w:bodyDiv w:val="1"/>
      <w:marLeft w:val="0"/>
      <w:marRight w:val="0"/>
      <w:marTop w:val="0"/>
      <w:marBottom w:val="0"/>
      <w:divBdr>
        <w:top w:val="none" w:sz="0" w:space="0" w:color="auto"/>
        <w:left w:val="none" w:sz="0" w:space="0" w:color="auto"/>
        <w:bottom w:val="none" w:sz="0" w:space="0" w:color="auto"/>
        <w:right w:val="none" w:sz="0" w:space="0" w:color="auto"/>
      </w:divBdr>
    </w:div>
    <w:div w:id="449469794">
      <w:bodyDiv w:val="1"/>
      <w:marLeft w:val="0"/>
      <w:marRight w:val="0"/>
      <w:marTop w:val="0"/>
      <w:marBottom w:val="0"/>
      <w:divBdr>
        <w:top w:val="none" w:sz="0" w:space="0" w:color="auto"/>
        <w:left w:val="none" w:sz="0" w:space="0" w:color="auto"/>
        <w:bottom w:val="none" w:sz="0" w:space="0" w:color="auto"/>
        <w:right w:val="none" w:sz="0" w:space="0" w:color="auto"/>
      </w:divBdr>
    </w:div>
    <w:div w:id="457575092">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701757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1312649">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08061793">
      <w:bodyDiv w:val="1"/>
      <w:marLeft w:val="0"/>
      <w:marRight w:val="0"/>
      <w:marTop w:val="0"/>
      <w:marBottom w:val="0"/>
      <w:divBdr>
        <w:top w:val="none" w:sz="0" w:space="0" w:color="auto"/>
        <w:left w:val="none" w:sz="0" w:space="0" w:color="auto"/>
        <w:bottom w:val="none" w:sz="0" w:space="0" w:color="auto"/>
        <w:right w:val="none" w:sz="0" w:space="0" w:color="auto"/>
      </w:divBdr>
    </w:div>
    <w:div w:id="517812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2696851">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165227">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79407438">
      <w:bodyDiv w:val="1"/>
      <w:marLeft w:val="0"/>
      <w:marRight w:val="0"/>
      <w:marTop w:val="0"/>
      <w:marBottom w:val="0"/>
      <w:divBdr>
        <w:top w:val="none" w:sz="0" w:space="0" w:color="auto"/>
        <w:left w:val="none" w:sz="0" w:space="0" w:color="auto"/>
        <w:bottom w:val="none" w:sz="0" w:space="0" w:color="auto"/>
        <w:right w:val="none" w:sz="0" w:space="0" w:color="auto"/>
      </w:divBdr>
    </w:div>
    <w:div w:id="593249701">
      <w:bodyDiv w:val="1"/>
      <w:marLeft w:val="0"/>
      <w:marRight w:val="0"/>
      <w:marTop w:val="0"/>
      <w:marBottom w:val="0"/>
      <w:divBdr>
        <w:top w:val="none" w:sz="0" w:space="0" w:color="auto"/>
        <w:left w:val="none" w:sz="0" w:space="0" w:color="auto"/>
        <w:bottom w:val="none" w:sz="0" w:space="0" w:color="auto"/>
        <w:right w:val="none" w:sz="0" w:space="0" w:color="auto"/>
      </w:divBdr>
    </w:div>
    <w:div w:id="598684080">
      <w:bodyDiv w:val="1"/>
      <w:marLeft w:val="0"/>
      <w:marRight w:val="0"/>
      <w:marTop w:val="0"/>
      <w:marBottom w:val="0"/>
      <w:divBdr>
        <w:top w:val="none" w:sz="0" w:space="0" w:color="auto"/>
        <w:left w:val="none" w:sz="0" w:space="0" w:color="auto"/>
        <w:bottom w:val="none" w:sz="0" w:space="0" w:color="auto"/>
        <w:right w:val="none" w:sz="0" w:space="0" w:color="auto"/>
      </w:divBdr>
    </w:div>
    <w:div w:id="61548034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217543">
      <w:bodyDiv w:val="1"/>
      <w:marLeft w:val="0"/>
      <w:marRight w:val="0"/>
      <w:marTop w:val="0"/>
      <w:marBottom w:val="0"/>
      <w:divBdr>
        <w:top w:val="none" w:sz="0" w:space="0" w:color="auto"/>
        <w:left w:val="none" w:sz="0" w:space="0" w:color="auto"/>
        <w:bottom w:val="none" w:sz="0" w:space="0" w:color="auto"/>
        <w:right w:val="none" w:sz="0" w:space="0" w:color="auto"/>
      </w:divBdr>
      <w:divsChild>
        <w:div w:id="437681370">
          <w:marLeft w:val="0"/>
          <w:marRight w:val="0"/>
          <w:marTop w:val="0"/>
          <w:marBottom w:val="0"/>
          <w:divBdr>
            <w:top w:val="none" w:sz="0" w:space="0" w:color="auto"/>
            <w:left w:val="none" w:sz="0" w:space="0" w:color="auto"/>
            <w:bottom w:val="none" w:sz="0" w:space="0" w:color="auto"/>
            <w:right w:val="none" w:sz="0" w:space="0" w:color="auto"/>
          </w:divBdr>
          <w:divsChild>
            <w:div w:id="1293053990">
              <w:marLeft w:val="0"/>
              <w:marRight w:val="0"/>
              <w:marTop w:val="225"/>
              <w:marBottom w:val="225"/>
              <w:divBdr>
                <w:top w:val="none" w:sz="0" w:space="0" w:color="auto"/>
                <w:left w:val="none" w:sz="0" w:space="0" w:color="auto"/>
                <w:bottom w:val="single" w:sz="6" w:space="3" w:color="CCCCAA"/>
                <w:right w:val="none" w:sz="0" w:space="0" w:color="auto"/>
              </w:divBdr>
            </w:div>
          </w:divsChild>
        </w:div>
      </w:divsChild>
    </w:div>
    <w:div w:id="643851011">
      <w:bodyDiv w:val="1"/>
      <w:marLeft w:val="0"/>
      <w:marRight w:val="0"/>
      <w:marTop w:val="0"/>
      <w:marBottom w:val="0"/>
      <w:divBdr>
        <w:top w:val="none" w:sz="0" w:space="0" w:color="auto"/>
        <w:left w:val="none" w:sz="0" w:space="0" w:color="auto"/>
        <w:bottom w:val="none" w:sz="0" w:space="0" w:color="auto"/>
        <w:right w:val="none" w:sz="0" w:space="0" w:color="auto"/>
      </w:divBdr>
    </w:div>
    <w:div w:id="65183375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2344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519">
          <w:marLeft w:val="0"/>
          <w:marRight w:val="0"/>
          <w:marTop w:val="0"/>
          <w:marBottom w:val="0"/>
          <w:divBdr>
            <w:top w:val="none" w:sz="0" w:space="0" w:color="auto"/>
            <w:left w:val="none" w:sz="0" w:space="0" w:color="auto"/>
            <w:bottom w:val="none" w:sz="0" w:space="0" w:color="auto"/>
            <w:right w:val="none" w:sz="0" w:space="0" w:color="auto"/>
          </w:divBdr>
          <w:divsChild>
            <w:div w:id="153376259">
              <w:marLeft w:val="0"/>
              <w:marRight w:val="0"/>
              <w:marTop w:val="0"/>
              <w:marBottom w:val="0"/>
              <w:divBdr>
                <w:top w:val="none" w:sz="0" w:space="0" w:color="auto"/>
                <w:left w:val="none" w:sz="0" w:space="0" w:color="auto"/>
                <w:bottom w:val="single" w:sz="6" w:space="0" w:color="E9ECEF"/>
                <w:right w:val="none" w:sz="0" w:space="0" w:color="auto"/>
              </w:divBdr>
            </w:div>
          </w:divsChild>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89323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419280">
      <w:bodyDiv w:val="1"/>
      <w:marLeft w:val="0"/>
      <w:marRight w:val="0"/>
      <w:marTop w:val="0"/>
      <w:marBottom w:val="0"/>
      <w:divBdr>
        <w:top w:val="none" w:sz="0" w:space="0" w:color="auto"/>
        <w:left w:val="none" w:sz="0" w:space="0" w:color="auto"/>
        <w:bottom w:val="none" w:sz="0" w:space="0" w:color="auto"/>
        <w:right w:val="none" w:sz="0" w:space="0" w:color="auto"/>
      </w:divBdr>
    </w:div>
    <w:div w:id="713116665">
      <w:bodyDiv w:val="1"/>
      <w:marLeft w:val="0"/>
      <w:marRight w:val="0"/>
      <w:marTop w:val="0"/>
      <w:marBottom w:val="0"/>
      <w:divBdr>
        <w:top w:val="none" w:sz="0" w:space="0" w:color="auto"/>
        <w:left w:val="none" w:sz="0" w:space="0" w:color="auto"/>
        <w:bottom w:val="none" w:sz="0" w:space="0" w:color="auto"/>
        <w:right w:val="none" w:sz="0" w:space="0" w:color="auto"/>
      </w:divBdr>
    </w:div>
    <w:div w:id="728960343">
      <w:bodyDiv w:val="1"/>
      <w:marLeft w:val="0"/>
      <w:marRight w:val="0"/>
      <w:marTop w:val="0"/>
      <w:marBottom w:val="0"/>
      <w:divBdr>
        <w:top w:val="none" w:sz="0" w:space="0" w:color="auto"/>
        <w:left w:val="none" w:sz="0" w:space="0" w:color="auto"/>
        <w:bottom w:val="none" w:sz="0" w:space="0" w:color="auto"/>
        <w:right w:val="none" w:sz="0" w:space="0" w:color="auto"/>
      </w:divBdr>
    </w:div>
    <w:div w:id="73026900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39328040">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83310379">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3737575">
      <w:bodyDiv w:val="1"/>
      <w:marLeft w:val="0"/>
      <w:marRight w:val="0"/>
      <w:marTop w:val="0"/>
      <w:marBottom w:val="0"/>
      <w:divBdr>
        <w:top w:val="none" w:sz="0" w:space="0" w:color="auto"/>
        <w:left w:val="none" w:sz="0" w:space="0" w:color="auto"/>
        <w:bottom w:val="none" w:sz="0" w:space="0" w:color="auto"/>
        <w:right w:val="none" w:sz="0" w:space="0" w:color="auto"/>
      </w:divBdr>
    </w:div>
    <w:div w:id="805898652">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4590804">
      <w:bodyDiv w:val="1"/>
      <w:marLeft w:val="0"/>
      <w:marRight w:val="0"/>
      <w:marTop w:val="0"/>
      <w:marBottom w:val="0"/>
      <w:divBdr>
        <w:top w:val="none" w:sz="0" w:space="0" w:color="auto"/>
        <w:left w:val="none" w:sz="0" w:space="0" w:color="auto"/>
        <w:bottom w:val="none" w:sz="0" w:space="0" w:color="auto"/>
        <w:right w:val="none" w:sz="0" w:space="0" w:color="auto"/>
      </w:divBdr>
    </w:div>
    <w:div w:id="831259895">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0246636">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425692">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04799093">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12855846">
      <w:bodyDiv w:val="1"/>
      <w:marLeft w:val="0"/>
      <w:marRight w:val="0"/>
      <w:marTop w:val="0"/>
      <w:marBottom w:val="0"/>
      <w:divBdr>
        <w:top w:val="none" w:sz="0" w:space="0" w:color="auto"/>
        <w:left w:val="none" w:sz="0" w:space="0" w:color="auto"/>
        <w:bottom w:val="none" w:sz="0" w:space="0" w:color="auto"/>
        <w:right w:val="none" w:sz="0" w:space="0" w:color="auto"/>
      </w:divBdr>
    </w:div>
    <w:div w:id="918713958">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927081796">
      <w:bodyDiv w:val="1"/>
      <w:marLeft w:val="0"/>
      <w:marRight w:val="0"/>
      <w:marTop w:val="0"/>
      <w:marBottom w:val="0"/>
      <w:divBdr>
        <w:top w:val="none" w:sz="0" w:space="0" w:color="auto"/>
        <w:left w:val="none" w:sz="0" w:space="0" w:color="auto"/>
        <w:bottom w:val="none" w:sz="0" w:space="0" w:color="auto"/>
        <w:right w:val="none" w:sz="0" w:space="0" w:color="auto"/>
      </w:divBdr>
    </w:div>
    <w:div w:id="950355325">
      <w:bodyDiv w:val="1"/>
      <w:marLeft w:val="0"/>
      <w:marRight w:val="0"/>
      <w:marTop w:val="0"/>
      <w:marBottom w:val="0"/>
      <w:divBdr>
        <w:top w:val="none" w:sz="0" w:space="0" w:color="auto"/>
        <w:left w:val="none" w:sz="0" w:space="0" w:color="auto"/>
        <w:bottom w:val="none" w:sz="0" w:space="0" w:color="auto"/>
        <w:right w:val="none" w:sz="0" w:space="0" w:color="auto"/>
      </w:divBdr>
    </w:div>
    <w:div w:id="952589303">
      <w:bodyDiv w:val="1"/>
      <w:marLeft w:val="0"/>
      <w:marRight w:val="0"/>
      <w:marTop w:val="0"/>
      <w:marBottom w:val="0"/>
      <w:divBdr>
        <w:top w:val="none" w:sz="0" w:space="0" w:color="auto"/>
        <w:left w:val="none" w:sz="0" w:space="0" w:color="auto"/>
        <w:bottom w:val="none" w:sz="0" w:space="0" w:color="auto"/>
        <w:right w:val="none" w:sz="0" w:space="0" w:color="auto"/>
      </w:divBdr>
    </w:div>
    <w:div w:id="987979387">
      <w:bodyDiv w:val="1"/>
      <w:marLeft w:val="0"/>
      <w:marRight w:val="0"/>
      <w:marTop w:val="0"/>
      <w:marBottom w:val="0"/>
      <w:divBdr>
        <w:top w:val="none" w:sz="0" w:space="0" w:color="auto"/>
        <w:left w:val="none" w:sz="0" w:space="0" w:color="auto"/>
        <w:bottom w:val="none" w:sz="0" w:space="0" w:color="auto"/>
        <w:right w:val="none" w:sz="0" w:space="0" w:color="auto"/>
      </w:divBdr>
    </w:div>
    <w:div w:id="1028406346">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59330893">
      <w:bodyDiv w:val="1"/>
      <w:marLeft w:val="0"/>
      <w:marRight w:val="0"/>
      <w:marTop w:val="0"/>
      <w:marBottom w:val="0"/>
      <w:divBdr>
        <w:top w:val="none" w:sz="0" w:space="0" w:color="auto"/>
        <w:left w:val="none" w:sz="0" w:space="0" w:color="auto"/>
        <w:bottom w:val="none" w:sz="0" w:space="0" w:color="auto"/>
        <w:right w:val="none" w:sz="0" w:space="0" w:color="auto"/>
      </w:divBdr>
    </w:div>
    <w:div w:id="1066146897">
      <w:bodyDiv w:val="1"/>
      <w:marLeft w:val="0"/>
      <w:marRight w:val="0"/>
      <w:marTop w:val="0"/>
      <w:marBottom w:val="0"/>
      <w:divBdr>
        <w:top w:val="none" w:sz="0" w:space="0" w:color="auto"/>
        <w:left w:val="none" w:sz="0" w:space="0" w:color="auto"/>
        <w:bottom w:val="none" w:sz="0" w:space="0" w:color="auto"/>
        <w:right w:val="none" w:sz="0" w:space="0" w:color="auto"/>
      </w:divBdr>
    </w:div>
    <w:div w:id="1069421175">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091851593">
      <w:bodyDiv w:val="1"/>
      <w:marLeft w:val="0"/>
      <w:marRight w:val="0"/>
      <w:marTop w:val="0"/>
      <w:marBottom w:val="0"/>
      <w:divBdr>
        <w:top w:val="none" w:sz="0" w:space="0" w:color="auto"/>
        <w:left w:val="none" w:sz="0" w:space="0" w:color="auto"/>
        <w:bottom w:val="none" w:sz="0" w:space="0" w:color="auto"/>
        <w:right w:val="none" w:sz="0" w:space="0" w:color="auto"/>
      </w:divBdr>
    </w:div>
    <w:div w:id="1098254463">
      <w:bodyDiv w:val="1"/>
      <w:marLeft w:val="0"/>
      <w:marRight w:val="0"/>
      <w:marTop w:val="0"/>
      <w:marBottom w:val="0"/>
      <w:divBdr>
        <w:top w:val="none" w:sz="0" w:space="0" w:color="auto"/>
        <w:left w:val="none" w:sz="0" w:space="0" w:color="auto"/>
        <w:bottom w:val="none" w:sz="0" w:space="0" w:color="auto"/>
        <w:right w:val="none" w:sz="0" w:space="0" w:color="auto"/>
      </w:divBdr>
    </w:div>
    <w:div w:id="1125318771">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1578464">
      <w:bodyDiv w:val="1"/>
      <w:marLeft w:val="0"/>
      <w:marRight w:val="0"/>
      <w:marTop w:val="0"/>
      <w:marBottom w:val="0"/>
      <w:divBdr>
        <w:top w:val="none" w:sz="0" w:space="0" w:color="auto"/>
        <w:left w:val="none" w:sz="0" w:space="0" w:color="auto"/>
        <w:bottom w:val="none" w:sz="0" w:space="0" w:color="auto"/>
        <w:right w:val="none" w:sz="0" w:space="0" w:color="auto"/>
      </w:divBdr>
    </w:div>
    <w:div w:id="1147475957">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8590521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1241355">
      <w:bodyDiv w:val="1"/>
      <w:marLeft w:val="0"/>
      <w:marRight w:val="0"/>
      <w:marTop w:val="0"/>
      <w:marBottom w:val="0"/>
      <w:divBdr>
        <w:top w:val="none" w:sz="0" w:space="0" w:color="auto"/>
        <w:left w:val="none" w:sz="0" w:space="0" w:color="auto"/>
        <w:bottom w:val="none" w:sz="0" w:space="0" w:color="auto"/>
        <w:right w:val="none" w:sz="0" w:space="0" w:color="auto"/>
      </w:divBdr>
    </w:div>
    <w:div w:id="1202135793">
      <w:bodyDiv w:val="1"/>
      <w:marLeft w:val="0"/>
      <w:marRight w:val="0"/>
      <w:marTop w:val="0"/>
      <w:marBottom w:val="0"/>
      <w:divBdr>
        <w:top w:val="none" w:sz="0" w:space="0" w:color="auto"/>
        <w:left w:val="none" w:sz="0" w:space="0" w:color="auto"/>
        <w:bottom w:val="none" w:sz="0" w:space="0" w:color="auto"/>
        <w:right w:val="none" w:sz="0" w:space="0" w:color="auto"/>
      </w:divBdr>
    </w:div>
    <w:div w:id="1215046232">
      <w:bodyDiv w:val="1"/>
      <w:marLeft w:val="0"/>
      <w:marRight w:val="0"/>
      <w:marTop w:val="0"/>
      <w:marBottom w:val="0"/>
      <w:divBdr>
        <w:top w:val="none" w:sz="0" w:space="0" w:color="auto"/>
        <w:left w:val="none" w:sz="0" w:space="0" w:color="auto"/>
        <w:bottom w:val="none" w:sz="0" w:space="0" w:color="auto"/>
        <w:right w:val="none" w:sz="0" w:space="0" w:color="auto"/>
      </w:divBdr>
      <w:divsChild>
        <w:div w:id="1001082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6431564">
      <w:bodyDiv w:val="1"/>
      <w:marLeft w:val="0"/>
      <w:marRight w:val="0"/>
      <w:marTop w:val="0"/>
      <w:marBottom w:val="0"/>
      <w:divBdr>
        <w:top w:val="none" w:sz="0" w:space="0" w:color="auto"/>
        <w:left w:val="none" w:sz="0" w:space="0" w:color="auto"/>
        <w:bottom w:val="none" w:sz="0" w:space="0" w:color="auto"/>
        <w:right w:val="none" w:sz="0" w:space="0" w:color="auto"/>
      </w:divBdr>
    </w:div>
    <w:div w:id="1228568020">
      <w:bodyDiv w:val="1"/>
      <w:marLeft w:val="0"/>
      <w:marRight w:val="0"/>
      <w:marTop w:val="0"/>
      <w:marBottom w:val="0"/>
      <w:divBdr>
        <w:top w:val="none" w:sz="0" w:space="0" w:color="auto"/>
        <w:left w:val="none" w:sz="0" w:space="0" w:color="auto"/>
        <w:bottom w:val="none" w:sz="0" w:space="0" w:color="auto"/>
        <w:right w:val="none" w:sz="0" w:space="0" w:color="auto"/>
      </w:divBdr>
    </w:div>
    <w:div w:id="1231113455">
      <w:bodyDiv w:val="1"/>
      <w:marLeft w:val="0"/>
      <w:marRight w:val="0"/>
      <w:marTop w:val="0"/>
      <w:marBottom w:val="0"/>
      <w:divBdr>
        <w:top w:val="none" w:sz="0" w:space="0" w:color="auto"/>
        <w:left w:val="none" w:sz="0" w:space="0" w:color="auto"/>
        <w:bottom w:val="none" w:sz="0" w:space="0" w:color="auto"/>
        <w:right w:val="none" w:sz="0" w:space="0" w:color="auto"/>
      </w:divBdr>
    </w:div>
    <w:div w:id="1237323034">
      <w:bodyDiv w:val="1"/>
      <w:marLeft w:val="0"/>
      <w:marRight w:val="0"/>
      <w:marTop w:val="0"/>
      <w:marBottom w:val="0"/>
      <w:divBdr>
        <w:top w:val="none" w:sz="0" w:space="0" w:color="auto"/>
        <w:left w:val="none" w:sz="0" w:space="0" w:color="auto"/>
        <w:bottom w:val="none" w:sz="0" w:space="0" w:color="auto"/>
        <w:right w:val="none" w:sz="0" w:space="0" w:color="auto"/>
      </w:divBdr>
    </w:div>
    <w:div w:id="1249924400">
      <w:bodyDiv w:val="1"/>
      <w:marLeft w:val="0"/>
      <w:marRight w:val="0"/>
      <w:marTop w:val="0"/>
      <w:marBottom w:val="0"/>
      <w:divBdr>
        <w:top w:val="none" w:sz="0" w:space="0" w:color="auto"/>
        <w:left w:val="none" w:sz="0" w:space="0" w:color="auto"/>
        <w:bottom w:val="none" w:sz="0" w:space="0" w:color="auto"/>
        <w:right w:val="none" w:sz="0" w:space="0" w:color="auto"/>
      </w:divBdr>
    </w:div>
    <w:div w:id="1251816029">
      <w:bodyDiv w:val="1"/>
      <w:marLeft w:val="0"/>
      <w:marRight w:val="0"/>
      <w:marTop w:val="0"/>
      <w:marBottom w:val="0"/>
      <w:divBdr>
        <w:top w:val="none" w:sz="0" w:space="0" w:color="auto"/>
        <w:left w:val="none" w:sz="0" w:space="0" w:color="auto"/>
        <w:bottom w:val="none" w:sz="0" w:space="0" w:color="auto"/>
        <w:right w:val="none" w:sz="0" w:space="0" w:color="auto"/>
      </w:divBdr>
    </w:div>
    <w:div w:id="1269849018">
      <w:bodyDiv w:val="1"/>
      <w:marLeft w:val="0"/>
      <w:marRight w:val="0"/>
      <w:marTop w:val="0"/>
      <w:marBottom w:val="0"/>
      <w:divBdr>
        <w:top w:val="none" w:sz="0" w:space="0" w:color="auto"/>
        <w:left w:val="none" w:sz="0" w:space="0" w:color="auto"/>
        <w:bottom w:val="none" w:sz="0" w:space="0" w:color="auto"/>
        <w:right w:val="none" w:sz="0" w:space="0" w:color="auto"/>
      </w:divBdr>
      <w:divsChild>
        <w:div w:id="1655253490">
          <w:marLeft w:val="0"/>
          <w:marRight w:val="0"/>
          <w:marTop w:val="0"/>
          <w:marBottom w:val="0"/>
          <w:divBdr>
            <w:top w:val="none" w:sz="0" w:space="0" w:color="auto"/>
            <w:left w:val="none" w:sz="0" w:space="0" w:color="auto"/>
            <w:bottom w:val="none" w:sz="0" w:space="0" w:color="auto"/>
            <w:right w:val="none" w:sz="0" w:space="0" w:color="auto"/>
          </w:divBdr>
        </w:div>
        <w:div w:id="1670064640">
          <w:marLeft w:val="0"/>
          <w:marRight w:val="0"/>
          <w:marTop w:val="0"/>
          <w:marBottom w:val="0"/>
          <w:divBdr>
            <w:top w:val="none" w:sz="0" w:space="0" w:color="auto"/>
            <w:left w:val="none" w:sz="0" w:space="0" w:color="auto"/>
            <w:bottom w:val="none" w:sz="0" w:space="0" w:color="auto"/>
            <w:right w:val="none" w:sz="0" w:space="0" w:color="auto"/>
          </w:divBdr>
        </w:div>
        <w:div w:id="2052223974">
          <w:marLeft w:val="0"/>
          <w:marRight w:val="0"/>
          <w:marTop w:val="0"/>
          <w:marBottom w:val="0"/>
          <w:divBdr>
            <w:top w:val="none" w:sz="0" w:space="0" w:color="auto"/>
            <w:left w:val="none" w:sz="0" w:space="0" w:color="auto"/>
            <w:bottom w:val="none" w:sz="0" w:space="0" w:color="auto"/>
            <w:right w:val="none" w:sz="0" w:space="0" w:color="auto"/>
          </w:divBdr>
        </w:div>
      </w:divsChild>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00914053">
      <w:bodyDiv w:val="1"/>
      <w:marLeft w:val="0"/>
      <w:marRight w:val="0"/>
      <w:marTop w:val="0"/>
      <w:marBottom w:val="0"/>
      <w:divBdr>
        <w:top w:val="none" w:sz="0" w:space="0" w:color="auto"/>
        <w:left w:val="none" w:sz="0" w:space="0" w:color="auto"/>
        <w:bottom w:val="none" w:sz="0" w:space="0" w:color="auto"/>
        <w:right w:val="none" w:sz="0" w:space="0" w:color="auto"/>
      </w:divBdr>
    </w:div>
    <w:div w:id="1306546523">
      <w:bodyDiv w:val="1"/>
      <w:marLeft w:val="0"/>
      <w:marRight w:val="0"/>
      <w:marTop w:val="0"/>
      <w:marBottom w:val="0"/>
      <w:divBdr>
        <w:top w:val="none" w:sz="0" w:space="0" w:color="auto"/>
        <w:left w:val="none" w:sz="0" w:space="0" w:color="auto"/>
        <w:bottom w:val="none" w:sz="0" w:space="0" w:color="auto"/>
        <w:right w:val="none" w:sz="0" w:space="0" w:color="auto"/>
      </w:divBdr>
    </w:div>
    <w:div w:id="1329165401">
      <w:bodyDiv w:val="1"/>
      <w:marLeft w:val="0"/>
      <w:marRight w:val="0"/>
      <w:marTop w:val="0"/>
      <w:marBottom w:val="0"/>
      <w:divBdr>
        <w:top w:val="none" w:sz="0" w:space="0" w:color="auto"/>
        <w:left w:val="none" w:sz="0" w:space="0" w:color="auto"/>
        <w:bottom w:val="none" w:sz="0" w:space="0" w:color="auto"/>
        <w:right w:val="none" w:sz="0" w:space="0" w:color="auto"/>
      </w:divBdr>
    </w:div>
    <w:div w:id="1338649706">
      <w:bodyDiv w:val="1"/>
      <w:marLeft w:val="0"/>
      <w:marRight w:val="0"/>
      <w:marTop w:val="0"/>
      <w:marBottom w:val="0"/>
      <w:divBdr>
        <w:top w:val="none" w:sz="0" w:space="0" w:color="auto"/>
        <w:left w:val="none" w:sz="0" w:space="0" w:color="auto"/>
        <w:bottom w:val="none" w:sz="0" w:space="0" w:color="auto"/>
        <w:right w:val="none" w:sz="0" w:space="0" w:color="auto"/>
      </w:divBdr>
    </w:div>
    <w:div w:id="1344552774">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57149570">
      <w:bodyDiv w:val="1"/>
      <w:marLeft w:val="0"/>
      <w:marRight w:val="0"/>
      <w:marTop w:val="0"/>
      <w:marBottom w:val="0"/>
      <w:divBdr>
        <w:top w:val="none" w:sz="0" w:space="0" w:color="auto"/>
        <w:left w:val="none" w:sz="0" w:space="0" w:color="auto"/>
        <w:bottom w:val="none" w:sz="0" w:space="0" w:color="auto"/>
        <w:right w:val="none" w:sz="0" w:space="0" w:color="auto"/>
      </w:divBdr>
    </w:div>
    <w:div w:id="1373530042">
      <w:bodyDiv w:val="1"/>
      <w:marLeft w:val="0"/>
      <w:marRight w:val="0"/>
      <w:marTop w:val="0"/>
      <w:marBottom w:val="0"/>
      <w:divBdr>
        <w:top w:val="none" w:sz="0" w:space="0" w:color="auto"/>
        <w:left w:val="none" w:sz="0" w:space="0" w:color="auto"/>
        <w:bottom w:val="none" w:sz="0" w:space="0" w:color="auto"/>
        <w:right w:val="none" w:sz="0" w:space="0" w:color="auto"/>
      </w:divBdr>
    </w:div>
    <w:div w:id="1375883821">
      <w:bodyDiv w:val="1"/>
      <w:marLeft w:val="0"/>
      <w:marRight w:val="0"/>
      <w:marTop w:val="0"/>
      <w:marBottom w:val="0"/>
      <w:divBdr>
        <w:top w:val="none" w:sz="0" w:space="0" w:color="auto"/>
        <w:left w:val="none" w:sz="0" w:space="0" w:color="auto"/>
        <w:bottom w:val="none" w:sz="0" w:space="0" w:color="auto"/>
        <w:right w:val="none" w:sz="0" w:space="0" w:color="auto"/>
      </w:divBdr>
    </w:div>
    <w:div w:id="1381830354">
      <w:bodyDiv w:val="1"/>
      <w:marLeft w:val="0"/>
      <w:marRight w:val="0"/>
      <w:marTop w:val="0"/>
      <w:marBottom w:val="0"/>
      <w:divBdr>
        <w:top w:val="none" w:sz="0" w:space="0" w:color="auto"/>
        <w:left w:val="none" w:sz="0" w:space="0" w:color="auto"/>
        <w:bottom w:val="none" w:sz="0" w:space="0" w:color="auto"/>
        <w:right w:val="none" w:sz="0" w:space="0" w:color="auto"/>
      </w:divBdr>
    </w:div>
    <w:div w:id="1395591260">
      <w:bodyDiv w:val="1"/>
      <w:marLeft w:val="0"/>
      <w:marRight w:val="0"/>
      <w:marTop w:val="0"/>
      <w:marBottom w:val="0"/>
      <w:divBdr>
        <w:top w:val="none" w:sz="0" w:space="0" w:color="auto"/>
        <w:left w:val="none" w:sz="0" w:space="0" w:color="auto"/>
        <w:bottom w:val="none" w:sz="0" w:space="0" w:color="auto"/>
        <w:right w:val="none" w:sz="0" w:space="0" w:color="auto"/>
      </w:divBdr>
    </w:div>
    <w:div w:id="1422482278">
      <w:bodyDiv w:val="1"/>
      <w:marLeft w:val="0"/>
      <w:marRight w:val="0"/>
      <w:marTop w:val="0"/>
      <w:marBottom w:val="0"/>
      <w:divBdr>
        <w:top w:val="none" w:sz="0" w:space="0" w:color="auto"/>
        <w:left w:val="none" w:sz="0" w:space="0" w:color="auto"/>
        <w:bottom w:val="none" w:sz="0" w:space="0" w:color="auto"/>
        <w:right w:val="none" w:sz="0" w:space="0" w:color="auto"/>
      </w:divBdr>
    </w:div>
    <w:div w:id="144488254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75831733">
      <w:bodyDiv w:val="1"/>
      <w:marLeft w:val="0"/>
      <w:marRight w:val="0"/>
      <w:marTop w:val="0"/>
      <w:marBottom w:val="0"/>
      <w:divBdr>
        <w:top w:val="none" w:sz="0" w:space="0" w:color="auto"/>
        <w:left w:val="none" w:sz="0" w:space="0" w:color="auto"/>
        <w:bottom w:val="none" w:sz="0" w:space="0" w:color="auto"/>
        <w:right w:val="none" w:sz="0" w:space="0" w:color="auto"/>
      </w:divBdr>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713286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4559093">
      <w:bodyDiv w:val="1"/>
      <w:marLeft w:val="0"/>
      <w:marRight w:val="0"/>
      <w:marTop w:val="0"/>
      <w:marBottom w:val="0"/>
      <w:divBdr>
        <w:top w:val="none" w:sz="0" w:space="0" w:color="auto"/>
        <w:left w:val="none" w:sz="0" w:space="0" w:color="auto"/>
        <w:bottom w:val="none" w:sz="0" w:space="0" w:color="auto"/>
        <w:right w:val="none" w:sz="0" w:space="0" w:color="auto"/>
      </w:divBdr>
    </w:div>
    <w:div w:id="1551917109">
      <w:bodyDiv w:val="1"/>
      <w:marLeft w:val="0"/>
      <w:marRight w:val="0"/>
      <w:marTop w:val="0"/>
      <w:marBottom w:val="0"/>
      <w:divBdr>
        <w:top w:val="none" w:sz="0" w:space="0" w:color="auto"/>
        <w:left w:val="none" w:sz="0" w:space="0" w:color="auto"/>
        <w:bottom w:val="none" w:sz="0" w:space="0" w:color="auto"/>
        <w:right w:val="none" w:sz="0" w:space="0" w:color="auto"/>
      </w:divBdr>
    </w:div>
    <w:div w:id="1551918577">
      <w:bodyDiv w:val="1"/>
      <w:marLeft w:val="0"/>
      <w:marRight w:val="0"/>
      <w:marTop w:val="0"/>
      <w:marBottom w:val="0"/>
      <w:divBdr>
        <w:top w:val="none" w:sz="0" w:space="0" w:color="auto"/>
        <w:left w:val="none" w:sz="0" w:space="0" w:color="auto"/>
        <w:bottom w:val="none" w:sz="0" w:space="0" w:color="auto"/>
        <w:right w:val="none" w:sz="0" w:space="0" w:color="auto"/>
      </w:divBdr>
      <w:divsChild>
        <w:div w:id="1174220689">
          <w:marLeft w:val="0"/>
          <w:marRight w:val="0"/>
          <w:marTop w:val="0"/>
          <w:marBottom w:val="0"/>
          <w:divBdr>
            <w:top w:val="none" w:sz="0" w:space="0" w:color="auto"/>
            <w:left w:val="none" w:sz="0" w:space="0" w:color="auto"/>
            <w:bottom w:val="none" w:sz="0" w:space="0" w:color="auto"/>
            <w:right w:val="none" w:sz="0" w:space="0" w:color="auto"/>
          </w:divBdr>
          <w:divsChild>
            <w:div w:id="1273899560">
              <w:marLeft w:val="0"/>
              <w:marRight w:val="0"/>
              <w:marTop w:val="0"/>
              <w:marBottom w:val="0"/>
              <w:divBdr>
                <w:top w:val="none" w:sz="0" w:space="0" w:color="auto"/>
                <w:left w:val="none" w:sz="0" w:space="0" w:color="auto"/>
                <w:bottom w:val="none" w:sz="0" w:space="0" w:color="auto"/>
                <w:right w:val="none" w:sz="0" w:space="0" w:color="auto"/>
              </w:divBdr>
              <w:divsChild>
                <w:div w:id="252083094">
                  <w:marLeft w:val="0"/>
                  <w:marRight w:val="0"/>
                  <w:marTop w:val="0"/>
                  <w:marBottom w:val="0"/>
                  <w:divBdr>
                    <w:top w:val="none" w:sz="0" w:space="0" w:color="auto"/>
                    <w:left w:val="none" w:sz="0" w:space="0" w:color="auto"/>
                    <w:bottom w:val="none" w:sz="0" w:space="0" w:color="auto"/>
                    <w:right w:val="none" w:sz="0" w:space="0" w:color="auto"/>
                  </w:divBdr>
                  <w:divsChild>
                    <w:div w:id="736977103">
                      <w:marLeft w:val="0"/>
                      <w:marRight w:val="0"/>
                      <w:marTop w:val="0"/>
                      <w:marBottom w:val="0"/>
                      <w:divBdr>
                        <w:top w:val="none" w:sz="0" w:space="0" w:color="auto"/>
                        <w:left w:val="none" w:sz="0" w:space="0" w:color="auto"/>
                        <w:bottom w:val="none" w:sz="0" w:space="0" w:color="auto"/>
                        <w:right w:val="none" w:sz="0" w:space="0" w:color="auto"/>
                      </w:divBdr>
                      <w:divsChild>
                        <w:div w:id="89885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346103">
      <w:bodyDiv w:val="1"/>
      <w:marLeft w:val="0"/>
      <w:marRight w:val="0"/>
      <w:marTop w:val="0"/>
      <w:marBottom w:val="0"/>
      <w:divBdr>
        <w:top w:val="none" w:sz="0" w:space="0" w:color="auto"/>
        <w:left w:val="none" w:sz="0" w:space="0" w:color="auto"/>
        <w:bottom w:val="none" w:sz="0" w:space="0" w:color="auto"/>
        <w:right w:val="none" w:sz="0" w:space="0" w:color="auto"/>
      </w:divBdr>
    </w:div>
    <w:div w:id="1556046267">
      <w:bodyDiv w:val="1"/>
      <w:marLeft w:val="0"/>
      <w:marRight w:val="0"/>
      <w:marTop w:val="0"/>
      <w:marBottom w:val="0"/>
      <w:divBdr>
        <w:top w:val="none" w:sz="0" w:space="0" w:color="auto"/>
        <w:left w:val="none" w:sz="0" w:space="0" w:color="auto"/>
        <w:bottom w:val="none" w:sz="0" w:space="0" w:color="auto"/>
        <w:right w:val="none" w:sz="0" w:space="0" w:color="auto"/>
      </w:divBdr>
    </w:div>
    <w:div w:id="1587418003">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1377220">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15138521">
      <w:bodyDiv w:val="1"/>
      <w:marLeft w:val="0"/>
      <w:marRight w:val="0"/>
      <w:marTop w:val="0"/>
      <w:marBottom w:val="0"/>
      <w:divBdr>
        <w:top w:val="none" w:sz="0" w:space="0" w:color="auto"/>
        <w:left w:val="none" w:sz="0" w:space="0" w:color="auto"/>
        <w:bottom w:val="none" w:sz="0" w:space="0" w:color="auto"/>
        <w:right w:val="none" w:sz="0" w:space="0" w:color="auto"/>
      </w:divBdr>
    </w:div>
    <w:div w:id="1627587146">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35713943">
      <w:bodyDiv w:val="1"/>
      <w:marLeft w:val="0"/>
      <w:marRight w:val="0"/>
      <w:marTop w:val="0"/>
      <w:marBottom w:val="0"/>
      <w:divBdr>
        <w:top w:val="none" w:sz="0" w:space="0" w:color="auto"/>
        <w:left w:val="none" w:sz="0" w:space="0" w:color="auto"/>
        <w:bottom w:val="none" w:sz="0" w:space="0" w:color="auto"/>
        <w:right w:val="none" w:sz="0" w:space="0" w:color="auto"/>
      </w:divBdr>
    </w:div>
    <w:div w:id="1639920253">
      <w:bodyDiv w:val="1"/>
      <w:marLeft w:val="0"/>
      <w:marRight w:val="0"/>
      <w:marTop w:val="0"/>
      <w:marBottom w:val="0"/>
      <w:divBdr>
        <w:top w:val="none" w:sz="0" w:space="0" w:color="auto"/>
        <w:left w:val="none" w:sz="0" w:space="0" w:color="auto"/>
        <w:bottom w:val="none" w:sz="0" w:space="0" w:color="auto"/>
        <w:right w:val="none" w:sz="0" w:space="0" w:color="auto"/>
      </w:divBdr>
    </w:div>
    <w:div w:id="1657566367">
      <w:bodyDiv w:val="1"/>
      <w:marLeft w:val="0"/>
      <w:marRight w:val="0"/>
      <w:marTop w:val="0"/>
      <w:marBottom w:val="0"/>
      <w:divBdr>
        <w:top w:val="none" w:sz="0" w:space="0" w:color="auto"/>
        <w:left w:val="none" w:sz="0" w:space="0" w:color="auto"/>
        <w:bottom w:val="none" w:sz="0" w:space="0" w:color="auto"/>
        <w:right w:val="none" w:sz="0" w:space="0" w:color="auto"/>
      </w:divBdr>
    </w:div>
    <w:div w:id="166528429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691645228">
      <w:bodyDiv w:val="1"/>
      <w:marLeft w:val="0"/>
      <w:marRight w:val="0"/>
      <w:marTop w:val="0"/>
      <w:marBottom w:val="0"/>
      <w:divBdr>
        <w:top w:val="none" w:sz="0" w:space="0" w:color="auto"/>
        <w:left w:val="none" w:sz="0" w:space="0" w:color="auto"/>
        <w:bottom w:val="none" w:sz="0" w:space="0" w:color="auto"/>
        <w:right w:val="none" w:sz="0" w:space="0" w:color="auto"/>
      </w:divBdr>
    </w:div>
    <w:div w:id="169950402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158620">
      <w:bodyDiv w:val="1"/>
      <w:marLeft w:val="0"/>
      <w:marRight w:val="0"/>
      <w:marTop w:val="0"/>
      <w:marBottom w:val="0"/>
      <w:divBdr>
        <w:top w:val="none" w:sz="0" w:space="0" w:color="auto"/>
        <w:left w:val="none" w:sz="0" w:space="0" w:color="auto"/>
        <w:bottom w:val="none" w:sz="0" w:space="0" w:color="auto"/>
        <w:right w:val="none" w:sz="0" w:space="0" w:color="auto"/>
      </w:divBdr>
    </w:div>
    <w:div w:id="1789666827">
      <w:bodyDiv w:val="1"/>
      <w:marLeft w:val="0"/>
      <w:marRight w:val="0"/>
      <w:marTop w:val="0"/>
      <w:marBottom w:val="0"/>
      <w:divBdr>
        <w:top w:val="none" w:sz="0" w:space="0" w:color="auto"/>
        <w:left w:val="none" w:sz="0" w:space="0" w:color="auto"/>
        <w:bottom w:val="none" w:sz="0" w:space="0" w:color="auto"/>
        <w:right w:val="none" w:sz="0" w:space="0" w:color="auto"/>
      </w:divBdr>
    </w:div>
    <w:div w:id="1792748013">
      <w:bodyDiv w:val="1"/>
      <w:marLeft w:val="0"/>
      <w:marRight w:val="0"/>
      <w:marTop w:val="0"/>
      <w:marBottom w:val="0"/>
      <w:divBdr>
        <w:top w:val="none" w:sz="0" w:space="0" w:color="auto"/>
        <w:left w:val="none" w:sz="0" w:space="0" w:color="auto"/>
        <w:bottom w:val="none" w:sz="0" w:space="0" w:color="auto"/>
        <w:right w:val="none" w:sz="0" w:space="0" w:color="auto"/>
      </w:divBdr>
    </w:div>
    <w:div w:id="1797024991">
      <w:bodyDiv w:val="1"/>
      <w:marLeft w:val="0"/>
      <w:marRight w:val="0"/>
      <w:marTop w:val="0"/>
      <w:marBottom w:val="0"/>
      <w:divBdr>
        <w:top w:val="none" w:sz="0" w:space="0" w:color="auto"/>
        <w:left w:val="none" w:sz="0" w:space="0" w:color="auto"/>
        <w:bottom w:val="none" w:sz="0" w:space="0" w:color="auto"/>
        <w:right w:val="none" w:sz="0" w:space="0" w:color="auto"/>
      </w:divBdr>
    </w:div>
    <w:div w:id="1815634558">
      <w:bodyDiv w:val="1"/>
      <w:marLeft w:val="0"/>
      <w:marRight w:val="0"/>
      <w:marTop w:val="0"/>
      <w:marBottom w:val="0"/>
      <w:divBdr>
        <w:top w:val="none" w:sz="0" w:space="0" w:color="auto"/>
        <w:left w:val="none" w:sz="0" w:space="0" w:color="auto"/>
        <w:bottom w:val="none" w:sz="0" w:space="0" w:color="auto"/>
        <w:right w:val="none" w:sz="0" w:space="0" w:color="auto"/>
      </w:divBdr>
      <w:divsChild>
        <w:div w:id="753161305">
          <w:marLeft w:val="0"/>
          <w:marRight w:val="0"/>
          <w:marTop w:val="0"/>
          <w:marBottom w:val="0"/>
          <w:divBdr>
            <w:top w:val="none" w:sz="0" w:space="0" w:color="auto"/>
            <w:left w:val="none" w:sz="0" w:space="0" w:color="auto"/>
            <w:bottom w:val="none" w:sz="0" w:space="0" w:color="auto"/>
            <w:right w:val="none" w:sz="0" w:space="0" w:color="auto"/>
          </w:divBdr>
        </w:div>
      </w:divsChild>
    </w:div>
    <w:div w:id="1821775602">
      <w:bodyDiv w:val="1"/>
      <w:marLeft w:val="0"/>
      <w:marRight w:val="0"/>
      <w:marTop w:val="0"/>
      <w:marBottom w:val="0"/>
      <w:divBdr>
        <w:top w:val="none" w:sz="0" w:space="0" w:color="auto"/>
        <w:left w:val="none" w:sz="0" w:space="0" w:color="auto"/>
        <w:bottom w:val="none" w:sz="0" w:space="0" w:color="auto"/>
        <w:right w:val="none" w:sz="0" w:space="0" w:color="auto"/>
      </w:divBdr>
    </w:div>
    <w:div w:id="1821920128">
      <w:bodyDiv w:val="1"/>
      <w:marLeft w:val="0"/>
      <w:marRight w:val="0"/>
      <w:marTop w:val="0"/>
      <w:marBottom w:val="0"/>
      <w:divBdr>
        <w:top w:val="none" w:sz="0" w:space="0" w:color="auto"/>
        <w:left w:val="none" w:sz="0" w:space="0" w:color="auto"/>
        <w:bottom w:val="none" w:sz="0" w:space="0" w:color="auto"/>
        <w:right w:val="none" w:sz="0" w:space="0" w:color="auto"/>
      </w:divBdr>
    </w:div>
    <w:div w:id="1841500536">
      <w:bodyDiv w:val="1"/>
      <w:marLeft w:val="0"/>
      <w:marRight w:val="0"/>
      <w:marTop w:val="0"/>
      <w:marBottom w:val="0"/>
      <w:divBdr>
        <w:top w:val="none" w:sz="0" w:space="0" w:color="auto"/>
        <w:left w:val="none" w:sz="0" w:space="0" w:color="auto"/>
        <w:bottom w:val="none" w:sz="0" w:space="0" w:color="auto"/>
        <w:right w:val="none" w:sz="0" w:space="0" w:color="auto"/>
      </w:divBdr>
    </w:div>
    <w:div w:id="185880588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70608647">
      <w:bodyDiv w:val="1"/>
      <w:marLeft w:val="0"/>
      <w:marRight w:val="0"/>
      <w:marTop w:val="0"/>
      <w:marBottom w:val="0"/>
      <w:divBdr>
        <w:top w:val="none" w:sz="0" w:space="0" w:color="auto"/>
        <w:left w:val="none" w:sz="0" w:space="0" w:color="auto"/>
        <w:bottom w:val="none" w:sz="0" w:space="0" w:color="auto"/>
        <w:right w:val="none" w:sz="0" w:space="0" w:color="auto"/>
      </w:divBdr>
    </w:div>
    <w:div w:id="1880509762">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3423773">
      <w:bodyDiv w:val="1"/>
      <w:marLeft w:val="0"/>
      <w:marRight w:val="0"/>
      <w:marTop w:val="0"/>
      <w:marBottom w:val="0"/>
      <w:divBdr>
        <w:top w:val="none" w:sz="0" w:space="0" w:color="auto"/>
        <w:left w:val="none" w:sz="0" w:space="0" w:color="auto"/>
        <w:bottom w:val="none" w:sz="0" w:space="0" w:color="auto"/>
        <w:right w:val="none" w:sz="0" w:space="0" w:color="auto"/>
      </w:divBdr>
    </w:div>
    <w:div w:id="1899200124">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72474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50046411">
      <w:bodyDiv w:val="1"/>
      <w:marLeft w:val="0"/>
      <w:marRight w:val="0"/>
      <w:marTop w:val="0"/>
      <w:marBottom w:val="0"/>
      <w:divBdr>
        <w:top w:val="none" w:sz="0" w:space="0" w:color="auto"/>
        <w:left w:val="none" w:sz="0" w:space="0" w:color="auto"/>
        <w:bottom w:val="none" w:sz="0" w:space="0" w:color="auto"/>
        <w:right w:val="none" w:sz="0" w:space="0" w:color="auto"/>
      </w:divBdr>
      <w:divsChild>
        <w:div w:id="518012640">
          <w:marLeft w:val="2126"/>
          <w:marRight w:val="0"/>
          <w:marTop w:val="0"/>
          <w:marBottom w:val="0"/>
          <w:divBdr>
            <w:top w:val="none" w:sz="0" w:space="0" w:color="auto"/>
            <w:left w:val="none" w:sz="0" w:space="0" w:color="auto"/>
            <w:bottom w:val="none" w:sz="0" w:space="0" w:color="auto"/>
            <w:right w:val="none" w:sz="0" w:space="0" w:color="auto"/>
          </w:divBdr>
        </w:div>
      </w:divsChild>
    </w:div>
    <w:div w:id="1953781818">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6276433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8851277">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08753124">
      <w:bodyDiv w:val="1"/>
      <w:marLeft w:val="0"/>
      <w:marRight w:val="0"/>
      <w:marTop w:val="0"/>
      <w:marBottom w:val="0"/>
      <w:divBdr>
        <w:top w:val="none" w:sz="0" w:space="0" w:color="auto"/>
        <w:left w:val="none" w:sz="0" w:space="0" w:color="auto"/>
        <w:bottom w:val="none" w:sz="0" w:space="0" w:color="auto"/>
        <w:right w:val="none" w:sz="0" w:space="0" w:color="auto"/>
      </w:divBdr>
    </w:div>
    <w:div w:id="20256706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8215399">
      <w:bodyDiv w:val="1"/>
      <w:marLeft w:val="0"/>
      <w:marRight w:val="0"/>
      <w:marTop w:val="0"/>
      <w:marBottom w:val="0"/>
      <w:divBdr>
        <w:top w:val="none" w:sz="0" w:space="0" w:color="auto"/>
        <w:left w:val="none" w:sz="0" w:space="0" w:color="auto"/>
        <w:bottom w:val="none" w:sz="0" w:space="0" w:color="auto"/>
        <w:right w:val="none" w:sz="0" w:space="0" w:color="auto"/>
      </w:divBdr>
    </w:div>
    <w:div w:id="2112385120">
      <w:bodyDiv w:val="1"/>
      <w:marLeft w:val="0"/>
      <w:marRight w:val="0"/>
      <w:marTop w:val="0"/>
      <w:marBottom w:val="0"/>
      <w:divBdr>
        <w:top w:val="none" w:sz="0" w:space="0" w:color="auto"/>
        <w:left w:val="none" w:sz="0" w:space="0" w:color="auto"/>
        <w:bottom w:val="none" w:sz="0" w:space="0" w:color="auto"/>
        <w:right w:val="none" w:sz="0" w:space="0" w:color="auto"/>
      </w:divBdr>
      <w:divsChild>
        <w:div w:id="1320234888">
          <w:marLeft w:val="0"/>
          <w:marRight w:val="0"/>
          <w:marTop w:val="0"/>
          <w:marBottom w:val="0"/>
          <w:divBdr>
            <w:top w:val="none" w:sz="0" w:space="0" w:color="auto"/>
            <w:left w:val="none" w:sz="0" w:space="0" w:color="auto"/>
            <w:bottom w:val="none" w:sz="0" w:space="0" w:color="auto"/>
            <w:right w:val="none" w:sz="0" w:space="0" w:color="auto"/>
          </w:divBdr>
          <w:divsChild>
            <w:div w:id="1844396472">
              <w:marLeft w:val="0"/>
              <w:marRight w:val="0"/>
              <w:marTop w:val="0"/>
              <w:marBottom w:val="0"/>
              <w:divBdr>
                <w:top w:val="none" w:sz="0" w:space="0" w:color="auto"/>
                <w:left w:val="none" w:sz="0" w:space="0" w:color="auto"/>
                <w:bottom w:val="none" w:sz="0" w:space="0" w:color="auto"/>
                <w:right w:val="none" w:sz="0" w:space="0" w:color="auto"/>
              </w:divBdr>
              <w:divsChild>
                <w:div w:id="1671978357">
                  <w:marLeft w:val="0"/>
                  <w:marRight w:val="0"/>
                  <w:marTop w:val="0"/>
                  <w:marBottom w:val="0"/>
                  <w:divBdr>
                    <w:top w:val="none" w:sz="0" w:space="0" w:color="auto"/>
                    <w:left w:val="none" w:sz="0" w:space="0" w:color="auto"/>
                    <w:bottom w:val="none" w:sz="0" w:space="0" w:color="auto"/>
                    <w:right w:val="none" w:sz="0" w:space="0" w:color="auto"/>
                  </w:divBdr>
                  <w:divsChild>
                    <w:div w:id="5007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5660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keepgunsoffcampus.org/" TargetMode="External"/><Relationship Id="rId14" Type="http://schemas.openxmlformats.org/officeDocument/2006/relationships/hyperlink" Target="https://www.jhsph.edu/research/centers-and-institutes/johns-hopkins-center-for-gun-policy-and-research/_pdfs/GunsOnCampus.pdf" TargetMode="External"/><Relationship Id="rId15" Type="http://schemas.openxmlformats.org/officeDocument/2006/relationships/hyperlink" Target="https://www.usatoday.com/story/opinion/2015/06/08/guns-handguns-concealed-carry-college-campus-texas-legislature-editorials-debates/28688893/#ampshare=https://www.usatoday.com/story/opinion/2015/06/08/guns-handguns-concealed-carry-college-campus-texas-legislature-editorials-debates/28688893/" TargetMode="External"/><Relationship Id="rId16" Type="http://schemas.openxmlformats.org/officeDocument/2006/relationships/hyperlink" Target="https://www.usatoday.com/story/news/nation/2013/11/13/school-violence-security-sandy-hook/3446023/" TargetMode="External"/><Relationship Id="rId17" Type="http://schemas.openxmlformats.org/officeDocument/2006/relationships/hyperlink" Target="https://www.jhsph.edu/research/centers-and-institutes/johns-hopkins-center-for-gun-policy-and-research/_pdfs/GunsOnCampus.pdf" TargetMode="External"/><Relationship Id="rId18" Type="http://schemas.openxmlformats.org/officeDocument/2006/relationships/hyperlink" Target="http://www.latimes.com/opinion/editorials/la-ed-colleges-concealed-weapons-nra-20170110-story.html" TargetMode="External"/><Relationship Id="rId19" Type="http://schemas.openxmlformats.org/officeDocument/2006/relationships/hyperlink" Target="https://www.insidehighered.com/views/2016/04/12/key-arguments-concealed-carry-campuses-dont-hold-essay" TargetMode="External"/><Relationship Id="rId50" Type="http://schemas.openxmlformats.org/officeDocument/2006/relationships/hyperlink" Target="https://www.jhsph.edu/research/centers-and-institutes/johns-hopkins-center-for-gun-policy-and-research/_pdfs/GunsOnCampus.pdf" TargetMode="External"/><Relationship Id="rId51" Type="http://schemas.openxmlformats.org/officeDocument/2006/relationships/hyperlink" Target="https://www.jhsph.edu/research/centers-and-institutes/johns-hopkins-center-for-gun-policy-and-research/_pdfs/GunsOnCampus.pdf" TargetMode="External"/><Relationship Id="rId52" Type="http://schemas.openxmlformats.org/officeDocument/2006/relationships/hyperlink" Target="https://www.jhsph.edu/research/centers-and-institutes/johns-hopkins-center-for-gun-policy-and-research/_pdfs/GunsOnCampus.pdf" TargetMode="External"/><Relationship Id="rId53" Type="http://schemas.openxmlformats.org/officeDocument/2006/relationships/header" Target="header2.xml"/><Relationship Id="rId54" Type="http://schemas.openxmlformats.org/officeDocument/2006/relationships/fontTable" Target="fontTable.xml"/><Relationship Id="rId55" Type="http://schemas.openxmlformats.org/officeDocument/2006/relationships/theme" Target="theme/theme1.xml"/><Relationship Id="rId40" Type="http://schemas.openxmlformats.org/officeDocument/2006/relationships/hyperlink" Target="https://www.jhsph.edu/research/centers-and-institutes/johns-hopkins-center-for-gun-policy-and-research/_pdfs/GunsOnCampus.pdf" TargetMode="External"/><Relationship Id="rId41" Type="http://schemas.openxmlformats.org/officeDocument/2006/relationships/hyperlink" Target="https://www.jhsph.edu/research/centers-and-institutes/johns-hopkins-center-for-gun-policy-and-research/_pdfs/GunsOnCampus.pdf" TargetMode="External"/><Relationship Id="rId42" Type="http://schemas.openxmlformats.org/officeDocument/2006/relationships/hyperlink" Target="https://www.jhsph.edu/research/centers-and-institutes/johns-hopkins-center-for-gun-policy-and-research/_pdfs/GunsOnCampus.pdf" TargetMode="External"/><Relationship Id="rId43" Type="http://schemas.openxmlformats.org/officeDocument/2006/relationships/hyperlink" Target="https://www.jhsph.edu/research/centers-and-institutes/johns-hopkins-center-for-gun-policy-and-research/_pdfs/GunsOnCampus.pdf" TargetMode="External"/><Relationship Id="rId44" Type="http://schemas.openxmlformats.org/officeDocument/2006/relationships/hyperlink" Target="https://www.jhsph.edu/research/centers-and-institutes/johns-hopkins-center-for-gun-policy-and-research/_pdfs/GunsOnCampus.pdf" TargetMode="External"/><Relationship Id="rId45" Type="http://schemas.openxmlformats.org/officeDocument/2006/relationships/hyperlink" Target="https://www.jhsph.edu/research/centers-and-institutes/johns-hopkins-center-for-gun-policy-and-research/_pdfs/GunsOnCampus.pdf" TargetMode="External"/><Relationship Id="rId46" Type="http://schemas.openxmlformats.org/officeDocument/2006/relationships/hyperlink" Target="https://www.jhsph.edu/research/centers-and-institutes/johns-hopkins-center-for-gun-policy-and-research/_pdfs/GunsOnCampus.pdf" TargetMode="External"/><Relationship Id="rId47" Type="http://schemas.openxmlformats.org/officeDocument/2006/relationships/hyperlink" Target="https://www.jhsph.edu/research/centers-and-institutes/johns-hopkins-center-for-gun-policy-and-research/_pdfs/GunsOnCampus.pdf" TargetMode="External"/><Relationship Id="rId48" Type="http://schemas.openxmlformats.org/officeDocument/2006/relationships/hyperlink" Target="http://www.latimes.com/opinion/editorials/la-ed-colleges-concealed-weapons-nra-20170110-story.html" TargetMode="External"/><Relationship Id="rId49" Type="http://schemas.openxmlformats.org/officeDocument/2006/relationships/hyperlink" Target="https://www.jhsph.edu/research/centers-and-institutes/johns-hopkins-center-for-gun-policy-and-research/_pdfs/GunsOnCampus.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30" Type="http://schemas.openxmlformats.org/officeDocument/2006/relationships/hyperlink" Target="https://www.jhsph.edu/research/centers-and-institutes/johns-hopkins-center-for-gun-policy-and-research/_pdfs/GunsOnCampus.pdf" TargetMode="External"/><Relationship Id="rId31" Type="http://schemas.openxmlformats.org/officeDocument/2006/relationships/hyperlink" Target="https://www.usatoday.com/story/opinion/2015/06/08/guns-handguns-concealed-carry-college-campus-texas-legislature-editorials-debates/28688893/#ampshare=https://www.usatoday.com/story/opinion/2015/06/08/guns-handguns-concealed-carry-college-campus-texas-legislature-editorials-debates/28688893/" TargetMode="External"/><Relationship Id="rId32" Type="http://schemas.openxmlformats.org/officeDocument/2006/relationships/hyperlink" Target="https://www.usatoday.com/story/opinion/2014/04/08/fort-hood-soldiers-carry-guns-mass-shootings-editorials-debates/7486123/" TargetMode="External"/><Relationship Id="rId33" Type="http://schemas.openxmlformats.org/officeDocument/2006/relationships/hyperlink" Target="http://dps.texas.gov/RSD/CHL/faqs/" TargetMode="External"/><Relationship Id="rId34" Type="http://schemas.openxmlformats.org/officeDocument/2006/relationships/hyperlink" Target="https://www.insidehighered.com/views/2016/04/12/key-arguments-concealed-carry-campuses-dont-hold-essay" TargetMode="External"/><Relationship Id="rId35" Type="http://schemas.openxmlformats.org/officeDocument/2006/relationships/hyperlink" Target="https://www.jhsph.edu/research/centers-and-institutes/johns-hopkins-center-for-gun-policy-and-research/_pdfs/GunsOnCampus.pdf" TargetMode="External"/><Relationship Id="rId36" Type="http://schemas.openxmlformats.org/officeDocument/2006/relationships/hyperlink" Target="https://www.jhsph.edu/research/centers-and-institutes/johns-hopkins-center-for-gun-policy-and-research/_pdfs/GunsOnCampus.pdf" TargetMode="External"/><Relationship Id="rId37" Type="http://schemas.openxmlformats.org/officeDocument/2006/relationships/hyperlink" Target="https://www.jhsph.edu/research/centers-and-institutes/johns-hopkins-center-for-gun-policy-and-research/_pdfs/GunsOnCampus.pdf" TargetMode="External"/><Relationship Id="rId38" Type="http://schemas.openxmlformats.org/officeDocument/2006/relationships/hyperlink" Target="https://www.jhsph.edu/research/centers-and-institutes/johns-hopkins-center-for-gun-policy-and-research/_pdfs/GunsOnCampus.pdf" TargetMode="External"/><Relationship Id="rId39" Type="http://schemas.openxmlformats.org/officeDocument/2006/relationships/hyperlink" Target="https://www.jhsph.edu/research/centers-and-institutes/johns-hopkins-center-for-gun-policy-and-research/_pdfs/GunsOnCampus.pdf" TargetMode="External"/><Relationship Id="rId20" Type="http://schemas.openxmlformats.org/officeDocument/2006/relationships/hyperlink" Target="https://www.jhsph.edu/research/centers-and-institutes/johns-hopkins-center-for-gun-policy-and-research/_pdfs/GunsOnCampus.pdf" TargetMode="External"/><Relationship Id="rId21" Type="http://schemas.openxmlformats.org/officeDocument/2006/relationships/hyperlink" Target="https://www.usatoday.com/story/opinion/2015/06/08/guns-handguns-concealed-carry-college-campus-texas-legislature-editorials-debates/28688893/#ampshare=https://www.usatoday.com/story/opinion/2015/06/08/guns-handguns-concealed-carry-college-campus-texas-legislature-editorials-debates/28688893/" TargetMode="External"/><Relationship Id="rId22" Type="http://schemas.openxmlformats.org/officeDocument/2006/relationships/hyperlink" Target="https://www.jhsph.edu/research/centers-and-institutes/johns-hopkins-center-for-gun-policy-and-research/_pdfs/GunsOnCampus.pdf" TargetMode="External"/><Relationship Id="rId23" Type="http://schemas.openxmlformats.org/officeDocument/2006/relationships/hyperlink" Target="https://www.jhsph.edu/research/centers-and-institutes/johns-hopkins-center-for-gun-policy-and-research/_pdfs/GunsOnCampus.pdf" TargetMode="External"/><Relationship Id="rId24" Type="http://schemas.openxmlformats.org/officeDocument/2006/relationships/hyperlink" Target="https://www.jhsph.edu/research/centers-and-institutes/johns-hopkins-center-for-gun-policy-and-research/_pdfs/GunsOnCampus.pdf" TargetMode="External"/><Relationship Id="rId25" Type="http://schemas.openxmlformats.org/officeDocument/2006/relationships/hyperlink" Target="https://www.jhsph.edu/research/centers-and-institutes/johns-hopkins-center-for-gun-policy-and-research/_pdfs/GunsOnCampus.pdf" TargetMode="External"/><Relationship Id="rId26" Type="http://schemas.openxmlformats.org/officeDocument/2006/relationships/hyperlink" Target="https://www.jhsph.edu/research/centers-and-institutes/johns-hopkins-center-for-gun-policy-and-research/_pdfs/GunsOnCampus.pdf" TargetMode="External"/><Relationship Id="rId27" Type="http://schemas.openxmlformats.org/officeDocument/2006/relationships/hyperlink" Target="https://www.jhsph.edu/research/centers-and-institutes/johns-hopkins-center-for-gun-policy-and-research/_pdfs/GunsOnCampus.pdf" TargetMode="External"/><Relationship Id="rId28" Type="http://schemas.openxmlformats.org/officeDocument/2006/relationships/hyperlink" Target="https://www.jhsph.edu/research/centers-and-institutes/johns-hopkins-center-for-gun-policy-and-research/_pdfs/GunsOnCampus.pdf" TargetMode="External"/><Relationship Id="rId29" Type="http://schemas.openxmlformats.org/officeDocument/2006/relationships/hyperlink" Target="https://www.jhsph.edu/research/centers-and-institutes/johns-hopkins-center-for-gun-policy-and-research/_pdfs/GunsOnCampus.pdf" TargetMode="External"/><Relationship Id="rId10" Type="http://schemas.openxmlformats.org/officeDocument/2006/relationships/hyperlink" Target="https://www.jhsph.edu/research/centers-and-institutes/johns-hopkins-center-for-gun-policy-and-research/_pdfs/GunsOnCampus.pdf" TargetMode="External"/><Relationship Id="rId11" Type="http://schemas.openxmlformats.org/officeDocument/2006/relationships/hyperlink" Target="http://www.latimes.com/opinion/editorials/la-ed-colleges-concealed-weapons-nra-20170110-story.html" TargetMode="External"/><Relationship Id="rId12" Type="http://schemas.openxmlformats.org/officeDocument/2006/relationships/hyperlink" Target="http://www.businessinsider.com/states-that-allow-guns-on-college-campuses-2017-4#ampshare=http://www.businessinsider.com/states-that-allow-guns-on-college-campuses-201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36E50-8FBB-EC43-8A69-DA0754397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TotalTime>
  <Pages>18</Pages>
  <Words>10900</Words>
  <Characters>62134</Characters>
  <Application>Microsoft Macintosh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72889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7</cp:revision>
  <cp:lastPrinted>2014-07-05T10:25:00Z</cp:lastPrinted>
  <dcterms:created xsi:type="dcterms:W3CDTF">2017-12-22T22:38:00Z</dcterms:created>
  <dcterms:modified xsi:type="dcterms:W3CDTF">2018-01-31T16:09:00Z</dcterms:modified>
</cp:coreProperties>
</file>