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3174D7F7" w:rsidR="00934A35" w:rsidRDefault="00EE1E8E" w:rsidP="00D462AA">
      <w:pPr>
        <w:pStyle w:val="Title"/>
      </w:pPr>
      <w:r>
        <w:t>Negative Brief</w:t>
      </w:r>
      <w:r w:rsidR="006466FE">
        <w:t xml:space="preserve">:  </w:t>
      </w:r>
      <w:r w:rsidR="007D77EC">
        <w:t>Pharmaceutical Data Exclusivity</w:t>
      </w:r>
      <w:r w:rsidR="00934660">
        <w:t xml:space="preserve"> – not a problem</w:t>
      </w:r>
    </w:p>
    <w:p w14:paraId="16A637BD" w14:textId="197F3A13" w:rsidR="00AF2404" w:rsidRDefault="00D462AA" w:rsidP="00AF2404">
      <w:pPr>
        <w:jc w:val="center"/>
      </w:pPr>
      <w:r>
        <w:t xml:space="preserve">By </w:t>
      </w:r>
      <w:r w:rsidR="0029753D">
        <w:t>“Coach Vance” Trefethen</w:t>
      </w:r>
    </w:p>
    <w:p w14:paraId="18A9E88D" w14:textId="65FD7B8C" w:rsidR="00F07F3F" w:rsidRPr="00A32068" w:rsidRDefault="00730011" w:rsidP="0098455D">
      <w:pPr>
        <w:pStyle w:val="Case"/>
        <w:numPr>
          <w:ilvl w:val="0"/>
          <w:numId w:val="0"/>
        </w:numPr>
        <w:ind w:left="576"/>
        <w:rPr>
          <w:rFonts w:eastAsiaTheme="minorEastAsia"/>
        </w:rPr>
      </w:pPr>
      <w:r>
        <w:rPr>
          <w:rFonts w:eastAsiaTheme="minorEastAsia"/>
        </w:rPr>
        <w:t xml:space="preserve">AFF </w:t>
      </w:r>
      <w:r w:rsidR="007D77EC">
        <w:rPr>
          <w:rFonts w:eastAsiaTheme="minorEastAsia"/>
        </w:rPr>
        <w:t xml:space="preserve">Plan says the </w:t>
      </w:r>
      <w:r w:rsidR="007D77EC" w:rsidRPr="007D77EC">
        <w:rPr>
          <w:rFonts w:eastAsiaTheme="minorEastAsia"/>
        </w:rPr>
        <w:t xml:space="preserve">US will cease enforcement of the pharmaceutical data-exclusivity provisions of CAFTA and cooperate with Central American governments that </w:t>
      </w:r>
      <w:r w:rsidR="00C92196">
        <w:rPr>
          <w:rFonts w:eastAsiaTheme="minorEastAsia"/>
        </w:rPr>
        <w:t>do</w:t>
      </w:r>
      <w:r w:rsidR="007D77EC" w:rsidRPr="007D77EC">
        <w:rPr>
          <w:rFonts w:eastAsiaTheme="minorEastAsia"/>
        </w:rPr>
        <w:t xml:space="preserve"> not implement the provisions</w:t>
      </w:r>
      <w:r>
        <w:rPr>
          <w:rFonts w:eastAsiaTheme="minorEastAsia"/>
        </w:rPr>
        <w:t>.</w:t>
      </w:r>
      <w:r w:rsidR="007D77EC">
        <w:rPr>
          <w:rFonts w:eastAsiaTheme="minorEastAsia"/>
        </w:rPr>
        <w:t xml:space="preserve">  “Data Exclusivity” is related to, </w:t>
      </w:r>
      <w:r w:rsidR="007D77EC" w:rsidRPr="00777E79">
        <w:rPr>
          <w:rFonts w:eastAsiaTheme="minorEastAsia"/>
          <w:u w:val="single"/>
        </w:rPr>
        <w:t>but not the same as</w:t>
      </w:r>
      <w:r w:rsidR="007D77EC">
        <w:rPr>
          <w:rFonts w:eastAsiaTheme="minorEastAsia"/>
        </w:rPr>
        <w:t xml:space="preserve">, a drug patent.  It’s a rule that says generic drug manufacturers cannot use the test results of the original manufacturer (proving the brand-name drug was safe and effective) to authorize the sale of their generic drug for a certain number of years.  This forces the generic drug manufacturer to </w:t>
      </w:r>
      <w:r w:rsidR="00156FE9">
        <w:rPr>
          <w:rFonts w:eastAsiaTheme="minorEastAsia"/>
        </w:rPr>
        <w:t>either</w:t>
      </w:r>
      <w:r w:rsidR="00156FE9">
        <w:rPr>
          <w:rFonts w:eastAsiaTheme="minorEastAsia"/>
        </w:rPr>
        <w:br/>
        <w:t xml:space="preserve">1) </w:t>
      </w:r>
      <w:r w:rsidR="007D77EC">
        <w:rPr>
          <w:rFonts w:eastAsiaTheme="minorEastAsia"/>
        </w:rPr>
        <w:t>do their own R&amp;D to prove the already-proven-safe drug is safe</w:t>
      </w:r>
      <w:r w:rsidR="00156FE9">
        <w:rPr>
          <w:rFonts w:eastAsiaTheme="minorEastAsia"/>
        </w:rPr>
        <w:t xml:space="preserve"> (which they won’t, because it’s really expensive</w:t>
      </w:r>
      <w:r w:rsidR="00777E79">
        <w:rPr>
          <w:rFonts w:eastAsiaTheme="minorEastAsia"/>
        </w:rPr>
        <w:t xml:space="preserve"> to redo all the research</w:t>
      </w:r>
      <w:r w:rsidR="00156FE9">
        <w:rPr>
          <w:rFonts w:eastAsiaTheme="minorEastAsia"/>
        </w:rPr>
        <w:t>)</w:t>
      </w:r>
      <w:r w:rsidR="007D77EC">
        <w:rPr>
          <w:rFonts w:eastAsiaTheme="minorEastAsia"/>
        </w:rPr>
        <w:t xml:space="preserve"> or else </w:t>
      </w:r>
      <w:r w:rsidR="00156FE9">
        <w:rPr>
          <w:rFonts w:eastAsiaTheme="minorEastAsia"/>
        </w:rPr>
        <w:br/>
        <w:t xml:space="preserve">2) </w:t>
      </w:r>
      <w:r w:rsidR="007D77EC">
        <w:rPr>
          <w:rFonts w:eastAsiaTheme="minorEastAsia"/>
        </w:rPr>
        <w:t xml:space="preserve">wait out the legally required number of years before putting out their generic version </w:t>
      </w:r>
      <w:r w:rsidR="00777E79">
        <w:rPr>
          <w:rFonts w:eastAsiaTheme="minorEastAsia"/>
        </w:rPr>
        <w:t>by</w:t>
      </w:r>
      <w:r w:rsidR="007D77EC">
        <w:rPr>
          <w:rFonts w:eastAsiaTheme="minorEastAsia"/>
        </w:rPr>
        <w:t xml:space="preserve"> </w:t>
      </w:r>
      <w:r w:rsidR="00777E79">
        <w:rPr>
          <w:rFonts w:eastAsiaTheme="minorEastAsia"/>
        </w:rPr>
        <w:t xml:space="preserve">using </w:t>
      </w:r>
      <w:r w:rsidR="007D77EC">
        <w:rPr>
          <w:rFonts w:eastAsiaTheme="minorEastAsia"/>
        </w:rPr>
        <w:t>the already-completed studies</w:t>
      </w:r>
      <w:r w:rsidR="00C92196">
        <w:rPr>
          <w:rFonts w:eastAsiaTheme="minorEastAsia"/>
        </w:rPr>
        <w:t xml:space="preserve"> after the data exclusivity clock runs out</w:t>
      </w:r>
      <w:r w:rsidR="00156FE9">
        <w:rPr>
          <w:rFonts w:eastAsiaTheme="minorEastAsia"/>
        </w:rPr>
        <w:t xml:space="preserve"> (which prolongs the drug manufacturer’s monopoly on the name brand drug and postpones the arrival of cheaper generics)</w:t>
      </w:r>
      <w:r w:rsidR="007D77EC">
        <w:rPr>
          <w:rFonts w:eastAsiaTheme="minorEastAsia"/>
        </w:rPr>
        <w:t>.</w:t>
      </w:r>
      <w:r w:rsidR="00037128">
        <w:rPr>
          <w:rFonts w:eastAsiaTheme="minorEastAsia"/>
        </w:rPr>
        <w:t xml:space="preserve">  </w:t>
      </w:r>
      <w:r w:rsidR="00156FE9">
        <w:rPr>
          <w:rFonts w:eastAsiaTheme="minorEastAsia"/>
        </w:rPr>
        <w:br/>
        <w:t xml:space="preserve">Data Exclusivity rules are typically added into Free Trade Agreements (FTA) to add extra protection for drug manufacturers beyond what the World Trade Organization’s rules have.  </w:t>
      </w:r>
      <w:r w:rsidR="00037128">
        <w:rPr>
          <w:rFonts w:eastAsiaTheme="minorEastAsia"/>
        </w:rPr>
        <w:t>AFF’s plan moves responsibility for oversight of data exclusivity from CAFTA (where it is enforced) to WTO, where there are no mandatory data exclusivity rules</w:t>
      </w:r>
      <w:r w:rsidR="00156FE9">
        <w:rPr>
          <w:rFonts w:eastAsiaTheme="minorEastAsia"/>
        </w:rPr>
        <w:t>, and tells the resolution countries to stop doing data exclusivity</w:t>
      </w:r>
      <w:r w:rsidR="00037128">
        <w:rPr>
          <w:rFonts w:eastAsiaTheme="minorEastAsia"/>
        </w:rPr>
        <w:t>.</w:t>
      </w:r>
      <w:r w:rsidR="00156FE9">
        <w:rPr>
          <w:rFonts w:eastAsiaTheme="minorEastAsia"/>
        </w:rPr>
        <w:t xml:space="preserve">  Their belief is that this will increase the supply of (lower priced) generic drugs in these countries.</w:t>
      </w:r>
      <w:r w:rsidR="00037128">
        <w:rPr>
          <w:rFonts w:eastAsiaTheme="minorEastAsia"/>
        </w:rPr>
        <w:t xml:space="preserve">  </w:t>
      </w:r>
    </w:p>
    <w:p w14:paraId="32B1E60F" w14:textId="6AC55D76" w:rsidR="00D85247" w:rsidRDefault="00DA2F2D">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\t "Contention 1,2,Contention 2,3,Title 2,1" </w:instrText>
      </w:r>
      <w:r>
        <w:fldChar w:fldCharType="separate"/>
      </w:r>
      <w:r w:rsidR="00D85247">
        <w:rPr>
          <w:noProof/>
        </w:rPr>
        <w:t>Negative: Pharmaceutical Data Exclusivity – not a problem</w:t>
      </w:r>
      <w:r w:rsidR="00D85247">
        <w:rPr>
          <w:noProof/>
        </w:rPr>
        <w:tab/>
      </w:r>
      <w:r w:rsidR="00D85247">
        <w:rPr>
          <w:noProof/>
        </w:rPr>
        <w:fldChar w:fldCharType="begin"/>
      </w:r>
      <w:r w:rsidR="00D85247">
        <w:rPr>
          <w:noProof/>
        </w:rPr>
        <w:instrText xml:space="preserve"> PAGEREF _Toc194339794 \h </w:instrText>
      </w:r>
      <w:r w:rsidR="00D85247">
        <w:rPr>
          <w:noProof/>
        </w:rPr>
      </w:r>
      <w:r w:rsidR="00D85247">
        <w:rPr>
          <w:noProof/>
        </w:rPr>
        <w:fldChar w:fldCharType="separate"/>
      </w:r>
      <w:r w:rsidR="00D85247">
        <w:rPr>
          <w:noProof/>
        </w:rPr>
        <w:t>3</w:t>
      </w:r>
      <w:r w:rsidR="00D85247">
        <w:rPr>
          <w:noProof/>
        </w:rPr>
        <w:fldChar w:fldCharType="end"/>
      </w:r>
    </w:p>
    <w:p w14:paraId="6DD3AD0E" w14:textId="4870EBF8"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INHERENCY</w:t>
      </w:r>
      <w:r>
        <w:rPr>
          <w:noProof/>
        </w:rPr>
        <w:tab/>
      </w:r>
      <w:r>
        <w:rPr>
          <w:noProof/>
        </w:rPr>
        <w:fldChar w:fldCharType="begin"/>
      </w:r>
      <w:r>
        <w:rPr>
          <w:noProof/>
        </w:rPr>
        <w:instrText xml:space="preserve"> PAGEREF _Toc194339795 \h </w:instrText>
      </w:r>
      <w:r>
        <w:rPr>
          <w:noProof/>
        </w:rPr>
      </w:r>
      <w:r>
        <w:rPr>
          <w:noProof/>
        </w:rPr>
        <w:fldChar w:fldCharType="separate"/>
      </w:r>
      <w:r>
        <w:rPr>
          <w:noProof/>
        </w:rPr>
        <w:t>3</w:t>
      </w:r>
      <w:r>
        <w:rPr>
          <w:noProof/>
        </w:rPr>
        <w:fldChar w:fldCharType="end"/>
      </w:r>
    </w:p>
    <w:p w14:paraId="6CA2E998" w14:textId="769D5075"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1.  No barrier</w:t>
      </w:r>
      <w:r>
        <w:rPr>
          <w:noProof/>
        </w:rPr>
        <w:tab/>
      </w:r>
      <w:r>
        <w:rPr>
          <w:noProof/>
        </w:rPr>
        <w:fldChar w:fldCharType="begin"/>
      </w:r>
      <w:r>
        <w:rPr>
          <w:noProof/>
        </w:rPr>
        <w:instrText xml:space="preserve"> PAGEREF _Toc194339796 \h </w:instrText>
      </w:r>
      <w:r>
        <w:rPr>
          <w:noProof/>
        </w:rPr>
      </w:r>
      <w:r>
        <w:rPr>
          <w:noProof/>
        </w:rPr>
        <w:fldChar w:fldCharType="separate"/>
      </w:r>
      <w:r>
        <w:rPr>
          <w:noProof/>
        </w:rPr>
        <w:t>3</w:t>
      </w:r>
      <w:r>
        <w:rPr>
          <w:noProof/>
        </w:rPr>
        <w:fldChar w:fldCharType="end"/>
      </w:r>
    </w:p>
    <w:p w14:paraId="40E861A2" w14:textId="304D3763"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Countries that have FTA (Free Trade Agreement) data exclusivity can create exceptions any time they want</w:t>
      </w:r>
      <w:r>
        <w:rPr>
          <w:noProof/>
        </w:rPr>
        <w:tab/>
      </w:r>
      <w:r>
        <w:rPr>
          <w:noProof/>
        </w:rPr>
        <w:fldChar w:fldCharType="begin"/>
      </w:r>
      <w:r>
        <w:rPr>
          <w:noProof/>
        </w:rPr>
        <w:instrText xml:space="preserve"> PAGEREF _Toc194339797 \h </w:instrText>
      </w:r>
      <w:r>
        <w:rPr>
          <w:noProof/>
        </w:rPr>
      </w:r>
      <w:r>
        <w:rPr>
          <w:noProof/>
        </w:rPr>
        <w:fldChar w:fldCharType="separate"/>
      </w:r>
      <w:r>
        <w:rPr>
          <w:noProof/>
        </w:rPr>
        <w:t>3</w:t>
      </w:r>
      <w:r>
        <w:rPr>
          <w:noProof/>
        </w:rPr>
        <w:fldChar w:fldCharType="end"/>
      </w:r>
    </w:p>
    <w:p w14:paraId="2DF64F9B" w14:textId="194FFB3A"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HARMS / SIGNIFICANCE</w:t>
      </w:r>
      <w:r>
        <w:rPr>
          <w:noProof/>
        </w:rPr>
        <w:tab/>
      </w:r>
      <w:r>
        <w:rPr>
          <w:noProof/>
        </w:rPr>
        <w:fldChar w:fldCharType="begin"/>
      </w:r>
      <w:r>
        <w:rPr>
          <w:noProof/>
        </w:rPr>
        <w:instrText xml:space="preserve"> PAGEREF _Toc194339798 \h </w:instrText>
      </w:r>
      <w:r>
        <w:rPr>
          <w:noProof/>
        </w:rPr>
      </w:r>
      <w:r>
        <w:rPr>
          <w:noProof/>
        </w:rPr>
        <w:fldChar w:fldCharType="separate"/>
      </w:r>
      <w:r>
        <w:rPr>
          <w:noProof/>
        </w:rPr>
        <w:t>3</w:t>
      </w:r>
      <w:r>
        <w:rPr>
          <w:noProof/>
        </w:rPr>
        <w:fldChar w:fldCharType="end"/>
      </w:r>
    </w:p>
    <w:p w14:paraId="5D58B949" w14:textId="3ECF342F"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1.  Data Exclusivity harm impacts get confounded with other factors</w:t>
      </w:r>
      <w:r>
        <w:rPr>
          <w:noProof/>
        </w:rPr>
        <w:tab/>
      </w:r>
      <w:r>
        <w:rPr>
          <w:noProof/>
        </w:rPr>
        <w:fldChar w:fldCharType="begin"/>
      </w:r>
      <w:r>
        <w:rPr>
          <w:noProof/>
        </w:rPr>
        <w:instrText xml:space="preserve"> PAGEREF _Toc194339799 \h </w:instrText>
      </w:r>
      <w:r>
        <w:rPr>
          <w:noProof/>
        </w:rPr>
      </w:r>
      <w:r>
        <w:rPr>
          <w:noProof/>
        </w:rPr>
        <w:fldChar w:fldCharType="separate"/>
      </w:r>
      <w:r>
        <w:rPr>
          <w:noProof/>
        </w:rPr>
        <w:t>3</w:t>
      </w:r>
      <w:r>
        <w:rPr>
          <w:noProof/>
        </w:rPr>
        <w:fldChar w:fldCharType="end"/>
      </w:r>
    </w:p>
    <w:p w14:paraId="2FC90667" w14:textId="119808C0"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Can’t determine “data exclusivity” impact on drug prices because other policies at the same time confound the analysis</w:t>
      </w:r>
      <w:r>
        <w:rPr>
          <w:noProof/>
        </w:rPr>
        <w:tab/>
      </w:r>
      <w:r>
        <w:rPr>
          <w:noProof/>
        </w:rPr>
        <w:fldChar w:fldCharType="begin"/>
      </w:r>
      <w:r>
        <w:rPr>
          <w:noProof/>
        </w:rPr>
        <w:instrText xml:space="preserve"> PAGEREF _Toc194339800 \h </w:instrText>
      </w:r>
      <w:r>
        <w:rPr>
          <w:noProof/>
        </w:rPr>
      </w:r>
      <w:r>
        <w:rPr>
          <w:noProof/>
        </w:rPr>
        <w:fldChar w:fldCharType="separate"/>
      </w:r>
      <w:r>
        <w:rPr>
          <w:noProof/>
        </w:rPr>
        <w:t>3</w:t>
      </w:r>
      <w:r>
        <w:rPr>
          <w:noProof/>
        </w:rPr>
        <w:fldChar w:fldCharType="end"/>
      </w:r>
    </w:p>
    <w:p w14:paraId="4E0771F0" w14:textId="6AE386DA"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2.   Data Exclusivity is usually irrelevant</w:t>
      </w:r>
      <w:r>
        <w:rPr>
          <w:noProof/>
        </w:rPr>
        <w:tab/>
      </w:r>
      <w:r>
        <w:rPr>
          <w:noProof/>
        </w:rPr>
        <w:fldChar w:fldCharType="begin"/>
      </w:r>
      <w:r>
        <w:rPr>
          <w:noProof/>
        </w:rPr>
        <w:instrText xml:space="preserve"> PAGEREF _Toc194339801 \h </w:instrText>
      </w:r>
      <w:r>
        <w:rPr>
          <w:noProof/>
        </w:rPr>
      </w:r>
      <w:r>
        <w:rPr>
          <w:noProof/>
        </w:rPr>
        <w:fldChar w:fldCharType="separate"/>
      </w:r>
      <w:r>
        <w:rPr>
          <w:noProof/>
        </w:rPr>
        <w:t>4</w:t>
      </w:r>
      <w:r>
        <w:rPr>
          <w:noProof/>
        </w:rPr>
        <w:fldChar w:fldCharType="end"/>
      </w:r>
    </w:p>
    <w:p w14:paraId="0EAAD9D5" w14:textId="75843E15"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Data exclusivity is usually irrelevant to drug availability because it runs concurrently with patent protection</w:t>
      </w:r>
      <w:r>
        <w:rPr>
          <w:noProof/>
        </w:rPr>
        <w:tab/>
      </w:r>
      <w:r>
        <w:rPr>
          <w:noProof/>
        </w:rPr>
        <w:fldChar w:fldCharType="begin"/>
      </w:r>
      <w:r>
        <w:rPr>
          <w:noProof/>
        </w:rPr>
        <w:instrText xml:space="preserve"> PAGEREF _Toc194339802 \h </w:instrText>
      </w:r>
      <w:r>
        <w:rPr>
          <w:noProof/>
        </w:rPr>
      </w:r>
      <w:r>
        <w:rPr>
          <w:noProof/>
        </w:rPr>
        <w:fldChar w:fldCharType="separate"/>
      </w:r>
      <w:r>
        <w:rPr>
          <w:noProof/>
        </w:rPr>
        <w:t>4</w:t>
      </w:r>
      <w:r>
        <w:rPr>
          <w:noProof/>
        </w:rPr>
        <w:fldChar w:fldCharType="end"/>
      </w:r>
    </w:p>
    <w:p w14:paraId="4B738B75" w14:textId="165795B8"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3.  Insufficient harm studies to justify policy change</w:t>
      </w:r>
      <w:r>
        <w:rPr>
          <w:noProof/>
        </w:rPr>
        <w:tab/>
      </w:r>
      <w:r>
        <w:rPr>
          <w:noProof/>
        </w:rPr>
        <w:fldChar w:fldCharType="begin"/>
      </w:r>
      <w:r>
        <w:rPr>
          <w:noProof/>
        </w:rPr>
        <w:instrText xml:space="preserve"> PAGEREF _Toc194339803 \h </w:instrText>
      </w:r>
      <w:r>
        <w:rPr>
          <w:noProof/>
        </w:rPr>
      </w:r>
      <w:r>
        <w:rPr>
          <w:noProof/>
        </w:rPr>
        <w:fldChar w:fldCharType="separate"/>
      </w:r>
      <w:r>
        <w:rPr>
          <w:noProof/>
        </w:rPr>
        <w:t>4</w:t>
      </w:r>
      <w:r>
        <w:rPr>
          <w:noProof/>
        </w:rPr>
        <w:fldChar w:fldCharType="end"/>
      </w:r>
    </w:p>
    <w:p w14:paraId="2AB9E17F" w14:textId="14862F3C"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There are no studies proving the negative financial impact of data exclusivity for pharmaceuticals.  Support for that claim requires more study to justify policy decisions</w:t>
      </w:r>
      <w:r>
        <w:rPr>
          <w:noProof/>
        </w:rPr>
        <w:tab/>
      </w:r>
      <w:r>
        <w:rPr>
          <w:noProof/>
        </w:rPr>
        <w:fldChar w:fldCharType="begin"/>
      </w:r>
      <w:r>
        <w:rPr>
          <w:noProof/>
        </w:rPr>
        <w:instrText xml:space="preserve"> PAGEREF _Toc194339804 \h </w:instrText>
      </w:r>
      <w:r>
        <w:rPr>
          <w:noProof/>
        </w:rPr>
      </w:r>
      <w:r>
        <w:rPr>
          <w:noProof/>
        </w:rPr>
        <w:fldChar w:fldCharType="separate"/>
      </w:r>
      <w:r>
        <w:rPr>
          <w:noProof/>
        </w:rPr>
        <w:t>4</w:t>
      </w:r>
      <w:r>
        <w:rPr>
          <w:noProof/>
        </w:rPr>
        <w:fldChar w:fldCharType="end"/>
      </w:r>
    </w:p>
    <w:p w14:paraId="380C7E62" w14:textId="29244DB7"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SOLVENCY</w:t>
      </w:r>
      <w:r>
        <w:rPr>
          <w:noProof/>
        </w:rPr>
        <w:tab/>
      </w:r>
      <w:r>
        <w:rPr>
          <w:noProof/>
        </w:rPr>
        <w:fldChar w:fldCharType="begin"/>
      </w:r>
      <w:r>
        <w:rPr>
          <w:noProof/>
        </w:rPr>
        <w:instrText xml:space="preserve"> PAGEREF _Toc194339805 \h </w:instrText>
      </w:r>
      <w:r>
        <w:rPr>
          <w:noProof/>
        </w:rPr>
      </w:r>
      <w:r>
        <w:rPr>
          <w:noProof/>
        </w:rPr>
        <w:fldChar w:fldCharType="separate"/>
      </w:r>
      <w:r>
        <w:rPr>
          <w:noProof/>
        </w:rPr>
        <w:t>4</w:t>
      </w:r>
      <w:r>
        <w:rPr>
          <w:noProof/>
        </w:rPr>
        <w:fldChar w:fldCharType="end"/>
      </w:r>
    </w:p>
    <w:p w14:paraId="525946C0" w14:textId="6F28D9E8"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1.  Endless litigation</w:t>
      </w:r>
      <w:r>
        <w:rPr>
          <w:noProof/>
        </w:rPr>
        <w:tab/>
      </w:r>
      <w:r>
        <w:rPr>
          <w:noProof/>
        </w:rPr>
        <w:fldChar w:fldCharType="begin"/>
      </w:r>
      <w:r>
        <w:rPr>
          <w:noProof/>
        </w:rPr>
        <w:instrText xml:space="preserve"> PAGEREF _Toc194339806 \h </w:instrText>
      </w:r>
      <w:r>
        <w:rPr>
          <w:noProof/>
        </w:rPr>
      </w:r>
      <w:r>
        <w:rPr>
          <w:noProof/>
        </w:rPr>
        <w:fldChar w:fldCharType="separate"/>
      </w:r>
      <w:r>
        <w:rPr>
          <w:noProof/>
        </w:rPr>
        <w:t>4</w:t>
      </w:r>
      <w:r>
        <w:rPr>
          <w:noProof/>
        </w:rPr>
        <w:fldChar w:fldCharType="end"/>
      </w:r>
    </w:p>
    <w:p w14:paraId="45FC02B9" w14:textId="5973CA3A"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May sound like a good idea, but restricting data exclusivity will end up in protracted litigation and delay</w:t>
      </w:r>
      <w:r>
        <w:rPr>
          <w:noProof/>
        </w:rPr>
        <w:tab/>
      </w:r>
      <w:r>
        <w:rPr>
          <w:noProof/>
        </w:rPr>
        <w:fldChar w:fldCharType="begin"/>
      </w:r>
      <w:r>
        <w:rPr>
          <w:noProof/>
        </w:rPr>
        <w:instrText xml:space="preserve"> PAGEREF _Toc194339807 \h </w:instrText>
      </w:r>
      <w:r>
        <w:rPr>
          <w:noProof/>
        </w:rPr>
      </w:r>
      <w:r>
        <w:rPr>
          <w:noProof/>
        </w:rPr>
        <w:fldChar w:fldCharType="separate"/>
      </w:r>
      <w:r>
        <w:rPr>
          <w:noProof/>
        </w:rPr>
        <w:t>4</w:t>
      </w:r>
      <w:r>
        <w:rPr>
          <w:noProof/>
        </w:rPr>
        <w:fldChar w:fldCharType="end"/>
      </w:r>
    </w:p>
    <w:p w14:paraId="70015E47" w14:textId="37480B6C"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2.  WTO (World Trade Organization) Incompetence</w:t>
      </w:r>
      <w:r>
        <w:rPr>
          <w:noProof/>
        </w:rPr>
        <w:tab/>
      </w:r>
      <w:r>
        <w:rPr>
          <w:noProof/>
        </w:rPr>
        <w:fldChar w:fldCharType="begin"/>
      </w:r>
      <w:r>
        <w:rPr>
          <w:noProof/>
        </w:rPr>
        <w:instrText xml:space="preserve"> PAGEREF _Toc194339808 \h </w:instrText>
      </w:r>
      <w:r>
        <w:rPr>
          <w:noProof/>
        </w:rPr>
      </w:r>
      <w:r>
        <w:rPr>
          <w:noProof/>
        </w:rPr>
        <w:fldChar w:fldCharType="separate"/>
      </w:r>
      <w:r>
        <w:rPr>
          <w:noProof/>
        </w:rPr>
        <w:t>5</w:t>
      </w:r>
      <w:r>
        <w:rPr>
          <w:noProof/>
        </w:rPr>
        <w:fldChar w:fldCharType="end"/>
      </w:r>
    </w:p>
    <w:p w14:paraId="7F8AB948" w14:textId="50BAC6B7"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WTO can’t enforce its rules because of US policies that interfere with and appeals and dispute settlement</w:t>
      </w:r>
      <w:r>
        <w:rPr>
          <w:noProof/>
        </w:rPr>
        <w:tab/>
      </w:r>
      <w:r>
        <w:rPr>
          <w:noProof/>
        </w:rPr>
        <w:fldChar w:fldCharType="begin"/>
      </w:r>
      <w:r>
        <w:rPr>
          <w:noProof/>
        </w:rPr>
        <w:instrText xml:space="preserve"> PAGEREF _Toc194339809 \h </w:instrText>
      </w:r>
      <w:r>
        <w:rPr>
          <w:noProof/>
        </w:rPr>
      </w:r>
      <w:r>
        <w:rPr>
          <w:noProof/>
        </w:rPr>
        <w:fldChar w:fldCharType="separate"/>
      </w:r>
      <w:r>
        <w:rPr>
          <w:noProof/>
        </w:rPr>
        <w:t>5</w:t>
      </w:r>
      <w:r>
        <w:rPr>
          <w:noProof/>
        </w:rPr>
        <w:fldChar w:fldCharType="end"/>
      </w:r>
    </w:p>
    <w:p w14:paraId="07F30A27" w14:textId="4D6159D1"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WTO can’t manage international trade because its appellate system is broken</w:t>
      </w:r>
      <w:r>
        <w:rPr>
          <w:noProof/>
        </w:rPr>
        <w:tab/>
      </w:r>
      <w:r>
        <w:rPr>
          <w:noProof/>
        </w:rPr>
        <w:fldChar w:fldCharType="begin"/>
      </w:r>
      <w:r>
        <w:rPr>
          <w:noProof/>
        </w:rPr>
        <w:instrText xml:space="preserve"> PAGEREF _Toc194339810 \h </w:instrText>
      </w:r>
      <w:r>
        <w:rPr>
          <w:noProof/>
        </w:rPr>
      </w:r>
      <w:r>
        <w:rPr>
          <w:noProof/>
        </w:rPr>
        <w:fldChar w:fldCharType="separate"/>
      </w:r>
      <w:r>
        <w:rPr>
          <w:noProof/>
        </w:rPr>
        <w:t>5</w:t>
      </w:r>
      <w:r>
        <w:rPr>
          <w:noProof/>
        </w:rPr>
        <w:fldChar w:fldCharType="end"/>
      </w:r>
    </w:p>
    <w:p w14:paraId="11D92B8D" w14:textId="2A71586D"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3.  Unrelated to CAFTA</w:t>
      </w:r>
      <w:r>
        <w:rPr>
          <w:noProof/>
        </w:rPr>
        <w:tab/>
      </w:r>
      <w:r>
        <w:rPr>
          <w:noProof/>
        </w:rPr>
        <w:fldChar w:fldCharType="begin"/>
      </w:r>
      <w:r>
        <w:rPr>
          <w:noProof/>
        </w:rPr>
        <w:instrText xml:space="preserve"> PAGEREF _Toc194339811 \h </w:instrText>
      </w:r>
      <w:r>
        <w:rPr>
          <w:noProof/>
        </w:rPr>
      </w:r>
      <w:r>
        <w:rPr>
          <w:noProof/>
        </w:rPr>
        <w:fldChar w:fldCharType="separate"/>
      </w:r>
      <w:r>
        <w:rPr>
          <w:noProof/>
        </w:rPr>
        <w:t>6</w:t>
      </w:r>
      <w:r>
        <w:rPr>
          <w:noProof/>
        </w:rPr>
        <w:fldChar w:fldCharType="end"/>
      </w:r>
    </w:p>
    <w:p w14:paraId="5368683C" w14:textId="43994308"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BIG LINK: AFF Plan changes only Data Exclusivity provisions linked to CAFTA</w:t>
      </w:r>
      <w:r>
        <w:rPr>
          <w:noProof/>
        </w:rPr>
        <w:tab/>
      </w:r>
      <w:r>
        <w:rPr>
          <w:noProof/>
        </w:rPr>
        <w:fldChar w:fldCharType="begin"/>
      </w:r>
      <w:r>
        <w:rPr>
          <w:noProof/>
        </w:rPr>
        <w:instrText xml:space="preserve"> PAGEREF _Toc194339812 \h </w:instrText>
      </w:r>
      <w:r>
        <w:rPr>
          <w:noProof/>
        </w:rPr>
      </w:r>
      <w:r>
        <w:rPr>
          <w:noProof/>
        </w:rPr>
        <w:fldChar w:fldCharType="separate"/>
      </w:r>
      <w:r>
        <w:rPr>
          <w:noProof/>
        </w:rPr>
        <w:t>6</w:t>
      </w:r>
      <w:r>
        <w:rPr>
          <w:noProof/>
        </w:rPr>
        <w:fldChar w:fldCharType="end"/>
      </w:r>
    </w:p>
    <w:p w14:paraId="67739F7C" w14:textId="6A502FF6"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CAFTA wasn’t responsible for strict data exclusivity laws in the resolution countries.  Turn: If they implemented CAFTA-level data protection, it would REDUCE data exclusivity!</w:t>
      </w:r>
      <w:r>
        <w:rPr>
          <w:noProof/>
        </w:rPr>
        <w:tab/>
      </w:r>
      <w:r>
        <w:rPr>
          <w:noProof/>
        </w:rPr>
        <w:fldChar w:fldCharType="begin"/>
      </w:r>
      <w:r>
        <w:rPr>
          <w:noProof/>
        </w:rPr>
        <w:instrText xml:space="preserve"> PAGEREF _Toc194339813 \h </w:instrText>
      </w:r>
      <w:r>
        <w:rPr>
          <w:noProof/>
        </w:rPr>
      </w:r>
      <w:r>
        <w:rPr>
          <w:noProof/>
        </w:rPr>
        <w:fldChar w:fldCharType="separate"/>
      </w:r>
      <w:r>
        <w:rPr>
          <w:noProof/>
        </w:rPr>
        <w:t>6</w:t>
      </w:r>
      <w:r>
        <w:rPr>
          <w:noProof/>
        </w:rPr>
        <w:fldChar w:fldCharType="end"/>
      </w:r>
    </w:p>
    <w:p w14:paraId="59BA4225" w14:textId="1625A815"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Failure: Costa Rica’s pharmaceutical data exclusivity laws are unrelated to CAFTA</w:t>
      </w:r>
      <w:r>
        <w:rPr>
          <w:noProof/>
        </w:rPr>
        <w:tab/>
      </w:r>
      <w:r>
        <w:rPr>
          <w:noProof/>
        </w:rPr>
        <w:fldChar w:fldCharType="begin"/>
      </w:r>
      <w:r>
        <w:rPr>
          <w:noProof/>
        </w:rPr>
        <w:instrText xml:space="preserve"> PAGEREF _Toc194339814 \h </w:instrText>
      </w:r>
      <w:r>
        <w:rPr>
          <w:noProof/>
        </w:rPr>
      </w:r>
      <w:r>
        <w:rPr>
          <w:noProof/>
        </w:rPr>
        <w:fldChar w:fldCharType="separate"/>
      </w:r>
      <w:r>
        <w:rPr>
          <w:noProof/>
        </w:rPr>
        <w:t>6</w:t>
      </w:r>
      <w:r>
        <w:rPr>
          <w:noProof/>
        </w:rPr>
        <w:fldChar w:fldCharType="end"/>
      </w:r>
    </w:p>
    <w:p w14:paraId="59886712" w14:textId="418DD5EE"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Failure:  Guatemala’s data exclusivity laws are unrelated to CAFTA</w:t>
      </w:r>
      <w:r>
        <w:rPr>
          <w:noProof/>
        </w:rPr>
        <w:tab/>
      </w:r>
      <w:r>
        <w:rPr>
          <w:noProof/>
        </w:rPr>
        <w:fldChar w:fldCharType="begin"/>
      </w:r>
      <w:r>
        <w:rPr>
          <w:noProof/>
        </w:rPr>
        <w:instrText xml:space="preserve"> PAGEREF _Toc194339815 \h </w:instrText>
      </w:r>
      <w:r>
        <w:rPr>
          <w:noProof/>
        </w:rPr>
      </w:r>
      <w:r>
        <w:rPr>
          <w:noProof/>
        </w:rPr>
        <w:fldChar w:fldCharType="separate"/>
      </w:r>
      <w:r>
        <w:rPr>
          <w:noProof/>
        </w:rPr>
        <w:t>7</w:t>
      </w:r>
      <w:r>
        <w:rPr>
          <w:noProof/>
        </w:rPr>
        <w:fldChar w:fldCharType="end"/>
      </w:r>
    </w:p>
    <w:p w14:paraId="60E71160" w14:textId="29700592" w:rsidR="00D85247" w:rsidRDefault="00D85247">
      <w:pPr>
        <w:pStyle w:val="TOC3"/>
        <w:rPr>
          <w:rFonts w:asciiTheme="minorHAnsi" w:eastAsiaTheme="minorEastAsia" w:hAnsiTheme="minorHAnsi" w:cstheme="minorBidi"/>
          <w:noProof/>
          <w:kern w:val="2"/>
          <w:sz w:val="24"/>
          <w:szCs w:val="24"/>
          <w14:ligatures w14:val="standardContextual"/>
        </w:rPr>
      </w:pPr>
      <w:r>
        <w:rPr>
          <w:noProof/>
        </w:rPr>
        <w:lastRenderedPageBreak/>
        <w:t>Nicaragua was the only country that linked its data exclusivity laws to CAFTA</w:t>
      </w:r>
      <w:r>
        <w:rPr>
          <w:noProof/>
        </w:rPr>
        <w:tab/>
      </w:r>
      <w:r>
        <w:rPr>
          <w:noProof/>
        </w:rPr>
        <w:fldChar w:fldCharType="begin"/>
      </w:r>
      <w:r>
        <w:rPr>
          <w:noProof/>
        </w:rPr>
        <w:instrText xml:space="preserve"> PAGEREF _Toc194339816 \h </w:instrText>
      </w:r>
      <w:r>
        <w:rPr>
          <w:noProof/>
        </w:rPr>
      </w:r>
      <w:r>
        <w:rPr>
          <w:noProof/>
        </w:rPr>
        <w:fldChar w:fldCharType="separate"/>
      </w:r>
      <w:r>
        <w:rPr>
          <w:noProof/>
        </w:rPr>
        <w:t>7</w:t>
      </w:r>
      <w:r>
        <w:rPr>
          <w:noProof/>
        </w:rPr>
        <w:fldChar w:fldCharType="end"/>
      </w:r>
    </w:p>
    <w:p w14:paraId="1B928909" w14:textId="73B3572B"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DISADVANTAGES</w:t>
      </w:r>
      <w:r>
        <w:rPr>
          <w:noProof/>
        </w:rPr>
        <w:tab/>
      </w:r>
      <w:r>
        <w:rPr>
          <w:noProof/>
        </w:rPr>
        <w:fldChar w:fldCharType="begin"/>
      </w:r>
      <w:r>
        <w:rPr>
          <w:noProof/>
        </w:rPr>
        <w:instrText xml:space="preserve"> PAGEREF _Toc194339817 \h </w:instrText>
      </w:r>
      <w:r>
        <w:rPr>
          <w:noProof/>
        </w:rPr>
      </w:r>
      <w:r>
        <w:rPr>
          <w:noProof/>
        </w:rPr>
        <w:fldChar w:fldCharType="separate"/>
      </w:r>
      <w:r>
        <w:rPr>
          <w:noProof/>
        </w:rPr>
        <w:t>7</w:t>
      </w:r>
      <w:r>
        <w:rPr>
          <w:noProof/>
        </w:rPr>
        <w:fldChar w:fldCharType="end"/>
      </w:r>
    </w:p>
    <w:p w14:paraId="5F9FED18" w14:textId="5B92308E"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1.   Loss of pharmaceutical R&amp;D</w:t>
      </w:r>
      <w:r>
        <w:rPr>
          <w:noProof/>
        </w:rPr>
        <w:tab/>
      </w:r>
      <w:r>
        <w:rPr>
          <w:noProof/>
        </w:rPr>
        <w:fldChar w:fldCharType="begin"/>
      </w:r>
      <w:r>
        <w:rPr>
          <w:noProof/>
        </w:rPr>
        <w:instrText xml:space="preserve"> PAGEREF _Toc194339818 \h </w:instrText>
      </w:r>
      <w:r>
        <w:rPr>
          <w:noProof/>
        </w:rPr>
      </w:r>
      <w:r>
        <w:rPr>
          <w:noProof/>
        </w:rPr>
        <w:fldChar w:fldCharType="separate"/>
      </w:r>
      <w:r>
        <w:rPr>
          <w:noProof/>
        </w:rPr>
        <w:t>7</w:t>
      </w:r>
      <w:r>
        <w:rPr>
          <w:noProof/>
        </w:rPr>
        <w:fldChar w:fldCharType="end"/>
      </w:r>
    </w:p>
    <w:p w14:paraId="15578EDC" w14:textId="24300F36"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Data Exclusivity gives a profit incentive for pharmaceutical R&amp;D to develop new drugs</w:t>
      </w:r>
      <w:r>
        <w:rPr>
          <w:noProof/>
        </w:rPr>
        <w:tab/>
      </w:r>
      <w:r>
        <w:rPr>
          <w:noProof/>
        </w:rPr>
        <w:fldChar w:fldCharType="begin"/>
      </w:r>
      <w:r>
        <w:rPr>
          <w:noProof/>
        </w:rPr>
        <w:instrText xml:space="preserve"> PAGEREF _Toc194339819 \h </w:instrText>
      </w:r>
      <w:r>
        <w:rPr>
          <w:noProof/>
        </w:rPr>
      </w:r>
      <w:r>
        <w:rPr>
          <w:noProof/>
        </w:rPr>
        <w:fldChar w:fldCharType="separate"/>
      </w:r>
      <w:r>
        <w:rPr>
          <w:noProof/>
        </w:rPr>
        <w:t>7</w:t>
      </w:r>
      <w:r>
        <w:rPr>
          <w:noProof/>
        </w:rPr>
        <w:fldChar w:fldCharType="end"/>
      </w:r>
    </w:p>
    <w:p w14:paraId="5B1038EE" w14:textId="2D0A2E6D"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Data exclusivity specifically links to revenue needed for R&amp;D of new drugs</w:t>
      </w:r>
      <w:r>
        <w:rPr>
          <w:noProof/>
        </w:rPr>
        <w:tab/>
      </w:r>
      <w:r>
        <w:rPr>
          <w:noProof/>
        </w:rPr>
        <w:fldChar w:fldCharType="begin"/>
      </w:r>
      <w:r>
        <w:rPr>
          <w:noProof/>
        </w:rPr>
        <w:instrText xml:space="preserve"> PAGEREF _Toc194339820 \h </w:instrText>
      </w:r>
      <w:r>
        <w:rPr>
          <w:noProof/>
        </w:rPr>
      </w:r>
      <w:r>
        <w:rPr>
          <w:noProof/>
        </w:rPr>
        <w:fldChar w:fldCharType="separate"/>
      </w:r>
      <w:r>
        <w:rPr>
          <w:noProof/>
        </w:rPr>
        <w:t>8</w:t>
      </w:r>
      <w:r>
        <w:rPr>
          <w:noProof/>
        </w:rPr>
        <w:fldChar w:fldCharType="end"/>
      </w:r>
    </w:p>
    <w:p w14:paraId="1864E658" w14:textId="40E74845"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Sales revenue directly links to drug industry R&amp;D expenditures</w:t>
      </w:r>
      <w:r>
        <w:rPr>
          <w:noProof/>
        </w:rPr>
        <w:tab/>
      </w:r>
      <w:r>
        <w:rPr>
          <w:noProof/>
        </w:rPr>
        <w:fldChar w:fldCharType="begin"/>
      </w:r>
      <w:r>
        <w:rPr>
          <w:noProof/>
        </w:rPr>
        <w:instrText xml:space="preserve"> PAGEREF _Toc194339821 \h </w:instrText>
      </w:r>
      <w:r>
        <w:rPr>
          <w:noProof/>
        </w:rPr>
      </w:r>
      <w:r>
        <w:rPr>
          <w:noProof/>
        </w:rPr>
        <w:fldChar w:fldCharType="separate"/>
      </w:r>
      <w:r>
        <w:rPr>
          <w:noProof/>
        </w:rPr>
        <w:t>8</w:t>
      </w:r>
      <w:r>
        <w:rPr>
          <w:noProof/>
        </w:rPr>
        <w:fldChar w:fldCharType="end"/>
      </w:r>
    </w:p>
    <w:p w14:paraId="71E57650" w14:textId="2350C83A"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Development of even 1 drug is expensive – about $2.6 billion – because most research programs fail</w:t>
      </w:r>
      <w:r>
        <w:rPr>
          <w:noProof/>
        </w:rPr>
        <w:tab/>
      </w:r>
      <w:r>
        <w:rPr>
          <w:noProof/>
        </w:rPr>
        <w:fldChar w:fldCharType="begin"/>
      </w:r>
      <w:r>
        <w:rPr>
          <w:noProof/>
        </w:rPr>
        <w:instrText xml:space="preserve"> PAGEREF _Toc194339822 \h </w:instrText>
      </w:r>
      <w:r>
        <w:rPr>
          <w:noProof/>
        </w:rPr>
      </w:r>
      <w:r>
        <w:rPr>
          <w:noProof/>
        </w:rPr>
        <w:fldChar w:fldCharType="separate"/>
      </w:r>
      <w:r>
        <w:rPr>
          <w:noProof/>
        </w:rPr>
        <w:t>8</w:t>
      </w:r>
      <w:r>
        <w:rPr>
          <w:noProof/>
        </w:rPr>
        <w:fldChar w:fldCharType="end"/>
      </w:r>
    </w:p>
    <w:p w14:paraId="0AF8CBAF" w14:textId="6D3997C4"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&amp; Impact:  Data exclusivity restriction contains an explicit trade-off between current and future generations.  Less exclusivity means generic drugs faster now, but at the cost of fewer new drugs in the future</w:t>
      </w:r>
      <w:r>
        <w:rPr>
          <w:noProof/>
        </w:rPr>
        <w:tab/>
      </w:r>
      <w:r>
        <w:rPr>
          <w:noProof/>
        </w:rPr>
        <w:fldChar w:fldCharType="begin"/>
      </w:r>
      <w:r>
        <w:rPr>
          <w:noProof/>
        </w:rPr>
        <w:instrText xml:space="preserve"> PAGEREF _Toc194339823 \h </w:instrText>
      </w:r>
      <w:r>
        <w:rPr>
          <w:noProof/>
        </w:rPr>
      </w:r>
      <w:r>
        <w:rPr>
          <w:noProof/>
        </w:rPr>
        <w:fldChar w:fldCharType="separate"/>
      </w:r>
      <w:r>
        <w:rPr>
          <w:noProof/>
        </w:rPr>
        <w:t>9</w:t>
      </w:r>
      <w:r>
        <w:rPr>
          <w:noProof/>
        </w:rPr>
        <w:fldChar w:fldCharType="end"/>
      </w:r>
    </w:p>
    <w:p w14:paraId="05AAAC5B" w14:textId="1EF6E381"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Impact:  Net benefits favor longer data exclusivity.  Long-term R&amp;D (with longer data exclusivity) has higher net benefits because of the value of the new drugs that would be come with the increased revenue</w:t>
      </w:r>
      <w:r>
        <w:rPr>
          <w:noProof/>
        </w:rPr>
        <w:tab/>
      </w:r>
      <w:r>
        <w:rPr>
          <w:noProof/>
        </w:rPr>
        <w:fldChar w:fldCharType="begin"/>
      </w:r>
      <w:r>
        <w:rPr>
          <w:noProof/>
        </w:rPr>
        <w:instrText xml:space="preserve"> PAGEREF _Toc194339824 \h </w:instrText>
      </w:r>
      <w:r>
        <w:rPr>
          <w:noProof/>
        </w:rPr>
      </w:r>
      <w:r>
        <w:rPr>
          <w:noProof/>
        </w:rPr>
        <w:fldChar w:fldCharType="separate"/>
      </w:r>
      <w:r>
        <w:rPr>
          <w:noProof/>
        </w:rPr>
        <w:t>9</w:t>
      </w:r>
      <w:r>
        <w:rPr>
          <w:noProof/>
        </w:rPr>
        <w:fldChar w:fldCharType="end"/>
      </w:r>
    </w:p>
    <w:p w14:paraId="7FA2BFE0" w14:textId="1F927659"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Impact:  Actual study trumps anyone’s opinions.  Longer data exclusivity is net beneficial.  If we do any policy change, it should be for LONGER exclusivity, not shorter</w:t>
      </w:r>
      <w:r>
        <w:rPr>
          <w:noProof/>
        </w:rPr>
        <w:tab/>
      </w:r>
      <w:r>
        <w:rPr>
          <w:noProof/>
        </w:rPr>
        <w:fldChar w:fldCharType="begin"/>
      </w:r>
      <w:r>
        <w:rPr>
          <w:noProof/>
        </w:rPr>
        <w:instrText xml:space="preserve"> PAGEREF _Toc194339825 \h </w:instrText>
      </w:r>
      <w:r>
        <w:rPr>
          <w:noProof/>
        </w:rPr>
      </w:r>
      <w:r>
        <w:rPr>
          <w:noProof/>
        </w:rPr>
        <w:fldChar w:fldCharType="separate"/>
      </w:r>
      <w:r>
        <w:rPr>
          <w:noProof/>
        </w:rPr>
        <w:t>10</w:t>
      </w:r>
      <w:r>
        <w:rPr>
          <w:noProof/>
        </w:rPr>
        <w:fldChar w:fldCharType="end"/>
      </w:r>
    </w:p>
    <w:p w14:paraId="21A7E3A5" w14:textId="7C8E7A64"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Impact:  “Not” developing new drugs costs lives and sickness</w:t>
      </w:r>
      <w:r>
        <w:rPr>
          <w:noProof/>
        </w:rPr>
        <w:tab/>
      </w:r>
      <w:r>
        <w:rPr>
          <w:noProof/>
        </w:rPr>
        <w:fldChar w:fldCharType="begin"/>
      </w:r>
      <w:r>
        <w:rPr>
          <w:noProof/>
        </w:rPr>
        <w:instrText xml:space="preserve"> PAGEREF _Toc194339826 \h </w:instrText>
      </w:r>
      <w:r>
        <w:rPr>
          <w:noProof/>
        </w:rPr>
      </w:r>
      <w:r>
        <w:rPr>
          <w:noProof/>
        </w:rPr>
        <w:fldChar w:fldCharType="separate"/>
      </w:r>
      <w:r>
        <w:rPr>
          <w:noProof/>
        </w:rPr>
        <w:t>10</w:t>
      </w:r>
      <w:r>
        <w:rPr>
          <w:noProof/>
        </w:rPr>
        <w:fldChar w:fldCharType="end"/>
      </w:r>
    </w:p>
    <w:p w14:paraId="40D500BE" w14:textId="7CA9A51D"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A/T “But these are just tiny little countries that don’t affect anything” – Then stop wasting time debating them and come up with a topical substantial reform</w:t>
      </w:r>
      <w:r>
        <w:rPr>
          <w:noProof/>
        </w:rPr>
        <w:tab/>
      </w:r>
      <w:r>
        <w:rPr>
          <w:noProof/>
        </w:rPr>
        <w:fldChar w:fldCharType="begin"/>
      </w:r>
      <w:r>
        <w:rPr>
          <w:noProof/>
        </w:rPr>
        <w:instrText xml:space="preserve"> PAGEREF _Toc194339827 \h </w:instrText>
      </w:r>
      <w:r>
        <w:rPr>
          <w:noProof/>
        </w:rPr>
      </w:r>
      <w:r>
        <w:rPr>
          <w:noProof/>
        </w:rPr>
        <w:fldChar w:fldCharType="separate"/>
      </w:r>
      <w:r>
        <w:rPr>
          <w:noProof/>
        </w:rPr>
        <w:t>10</w:t>
      </w:r>
      <w:r>
        <w:rPr>
          <w:noProof/>
        </w:rPr>
        <w:fldChar w:fldCharType="end"/>
      </w:r>
    </w:p>
    <w:p w14:paraId="468A3DA8" w14:textId="2AB87A39"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2.  Loss of “biologic” drugs</w:t>
      </w:r>
      <w:r>
        <w:rPr>
          <w:noProof/>
        </w:rPr>
        <w:tab/>
      </w:r>
      <w:r>
        <w:rPr>
          <w:noProof/>
        </w:rPr>
        <w:fldChar w:fldCharType="begin"/>
      </w:r>
      <w:r>
        <w:rPr>
          <w:noProof/>
        </w:rPr>
        <w:instrText xml:space="preserve"> PAGEREF _Toc194339828 \h </w:instrText>
      </w:r>
      <w:r>
        <w:rPr>
          <w:noProof/>
        </w:rPr>
      </w:r>
      <w:r>
        <w:rPr>
          <w:noProof/>
        </w:rPr>
        <w:fldChar w:fldCharType="separate"/>
      </w:r>
      <w:r>
        <w:rPr>
          <w:noProof/>
        </w:rPr>
        <w:t>11</w:t>
      </w:r>
      <w:r>
        <w:rPr>
          <w:noProof/>
        </w:rPr>
        <w:fldChar w:fldCharType="end"/>
      </w:r>
    </w:p>
    <w:p w14:paraId="406C3E8E" w14:textId="2ADBCF81"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“Biologics” are different from standard pharmaceuticals and require additional protections – and there’s no financial harm to data exclusivity on them</w:t>
      </w:r>
      <w:r>
        <w:rPr>
          <w:noProof/>
        </w:rPr>
        <w:tab/>
      </w:r>
      <w:r>
        <w:rPr>
          <w:noProof/>
        </w:rPr>
        <w:fldChar w:fldCharType="begin"/>
      </w:r>
      <w:r>
        <w:rPr>
          <w:noProof/>
        </w:rPr>
        <w:instrText xml:space="preserve"> PAGEREF _Toc194339829 \h </w:instrText>
      </w:r>
      <w:r>
        <w:rPr>
          <w:noProof/>
        </w:rPr>
      </w:r>
      <w:r>
        <w:rPr>
          <w:noProof/>
        </w:rPr>
        <w:fldChar w:fldCharType="separate"/>
      </w:r>
      <w:r>
        <w:rPr>
          <w:noProof/>
        </w:rPr>
        <w:t>11</w:t>
      </w:r>
      <w:r>
        <w:rPr>
          <w:noProof/>
        </w:rPr>
        <w:fldChar w:fldCharType="end"/>
      </w:r>
    </w:p>
    <w:p w14:paraId="13A8B657" w14:textId="1B553C2C"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WTO inadequate to protect</w:t>
      </w:r>
      <w:r>
        <w:rPr>
          <w:noProof/>
        </w:rPr>
        <w:tab/>
      </w:r>
      <w:r>
        <w:rPr>
          <w:noProof/>
        </w:rPr>
        <w:fldChar w:fldCharType="begin"/>
      </w:r>
      <w:r>
        <w:rPr>
          <w:noProof/>
        </w:rPr>
        <w:instrText xml:space="preserve"> PAGEREF _Toc194339830 \h </w:instrText>
      </w:r>
      <w:r>
        <w:rPr>
          <w:noProof/>
        </w:rPr>
      </w:r>
      <w:r>
        <w:rPr>
          <w:noProof/>
        </w:rPr>
        <w:fldChar w:fldCharType="separate"/>
      </w:r>
      <w:r>
        <w:rPr>
          <w:noProof/>
        </w:rPr>
        <w:t>11</w:t>
      </w:r>
      <w:r>
        <w:rPr>
          <w:noProof/>
        </w:rPr>
        <w:fldChar w:fldCharType="end"/>
      </w:r>
    </w:p>
    <w:p w14:paraId="4A67D889" w14:textId="30B12A52"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Biologics require extra protection due to their complexity</w:t>
      </w:r>
      <w:r>
        <w:rPr>
          <w:noProof/>
        </w:rPr>
        <w:tab/>
      </w:r>
      <w:r>
        <w:rPr>
          <w:noProof/>
        </w:rPr>
        <w:fldChar w:fldCharType="begin"/>
      </w:r>
      <w:r>
        <w:rPr>
          <w:noProof/>
        </w:rPr>
        <w:instrText xml:space="preserve"> PAGEREF _Toc194339831 \h </w:instrText>
      </w:r>
      <w:r>
        <w:rPr>
          <w:noProof/>
        </w:rPr>
      </w:r>
      <w:r>
        <w:rPr>
          <w:noProof/>
        </w:rPr>
        <w:fldChar w:fldCharType="separate"/>
      </w:r>
      <w:r>
        <w:rPr>
          <w:noProof/>
        </w:rPr>
        <w:t>12</w:t>
      </w:r>
      <w:r>
        <w:rPr>
          <w:noProof/>
        </w:rPr>
        <w:fldChar w:fldCharType="end"/>
      </w:r>
    </w:p>
    <w:p w14:paraId="0CEACAB4" w14:textId="74BE7B34"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Link:  Without data protection, investment in biologic medicines won’t happen</w:t>
      </w:r>
      <w:r>
        <w:rPr>
          <w:noProof/>
        </w:rPr>
        <w:tab/>
      </w:r>
      <w:r>
        <w:rPr>
          <w:noProof/>
        </w:rPr>
        <w:fldChar w:fldCharType="begin"/>
      </w:r>
      <w:r>
        <w:rPr>
          <w:noProof/>
        </w:rPr>
        <w:instrText xml:space="preserve"> PAGEREF _Toc194339832 \h </w:instrText>
      </w:r>
      <w:r>
        <w:rPr>
          <w:noProof/>
        </w:rPr>
      </w:r>
      <w:r>
        <w:rPr>
          <w:noProof/>
        </w:rPr>
        <w:fldChar w:fldCharType="separate"/>
      </w:r>
      <w:r>
        <w:rPr>
          <w:noProof/>
        </w:rPr>
        <w:t>12</w:t>
      </w:r>
      <w:r>
        <w:rPr>
          <w:noProof/>
        </w:rPr>
        <w:fldChar w:fldCharType="end"/>
      </w:r>
    </w:p>
    <w:p w14:paraId="266F0115" w14:textId="3FE1825A"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Impact:  Negative net benefits.  May look good in short term, but long term we lose development of new drugs</w:t>
      </w:r>
      <w:r>
        <w:rPr>
          <w:noProof/>
        </w:rPr>
        <w:tab/>
      </w:r>
      <w:r>
        <w:rPr>
          <w:noProof/>
        </w:rPr>
        <w:fldChar w:fldCharType="begin"/>
      </w:r>
      <w:r>
        <w:rPr>
          <w:noProof/>
        </w:rPr>
        <w:instrText xml:space="preserve"> PAGEREF _Toc194339833 \h </w:instrText>
      </w:r>
      <w:r>
        <w:rPr>
          <w:noProof/>
        </w:rPr>
      </w:r>
      <w:r>
        <w:rPr>
          <w:noProof/>
        </w:rPr>
        <w:fldChar w:fldCharType="separate"/>
      </w:r>
      <w:r>
        <w:rPr>
          <w:noProof/>
        </w:rPr>
        <w:t>12</w:t>
      </w:r>
      <w:r>
        <w:rPr>
          <w:noProof/>
        </w:rPr>
        <w:fldChar w:fldCharType="end"/>
      </w:r>
    </w:p>
    <w:p w14:paraId="0B89441F" w14:textId="5DEB8397"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Impact:  Higher costs.  Public health cost savings from availability of biologics outweighs the cost of the drugs during the time they are exclusive</w:t>
      </w:r>
      <w:r>
        <w:rPr>
          <w:noProof/>
        </w:rPr>
        <w:tab/>
      </w:r>
      <w:r>
        <w:rPr>
          <w:noProof/>
        </w:rPr>
        <w:fldChar w:fldCharType="begin"/>
      </w:r>
      <w:r>
        <w:rPr>
          <w:noProof/>
        </w:rPr>
        <w:instrText xml:space="preserve"> PAGEREF _Toc194339834 \h </w:instrText>
      </w:r>
      <w:r>
        <w:rPr>
          <w:noProof/>
        </w:rPr>
      </w:r>
      <w:r>
        <w:rPr>
          <w:noProof/>
        </w:rPr>
        <w:fldChar w:fldCharType="separate"/>
      </w:r>
      <w:r>
        <w:rPr>
          <w:noProof/>
        </w:rPr>
        <w:t>13</w:t>
      </w:r>
      <w:r>
        <w:rPr>
          <w:noProof/>
        </w:rPr>
        <w:fldChar w:fldCharType="end"/>
      </w:r>
    </w:p>
    <w:p w14:paraId="2C07034C" w14:textId="63056742" w:rsidR="00D85247" w:rsidRDefault="00D85247">
      <w:pPr>
        <w:pStyle w:val="TOC2"/>
        <w:rPr>
          <w:rFonts w:asciiTheme="minorHAnsi" w:eastAsiaTheme="minorEastAsia" w:hAnsiTheme="minorHAnsi" w:cstheme="minorBidi"/>
          <w:noProof/>
          <w:kern w:val="2"/>
          <w:sz w:val="24"/>
          <w:szCs w:val="24"/>
          <w14:ligatures w14:val="standardContextual"/>
        </w:rPr>
      </w:pPr>
      <w:r>
        <w:rPr>
          <w:noProof/>
        </w:rPr>
        <w:t>SOURCE INDICTMENT</w:t>
      </w:r>
      <w:r>
        <w:rPr>
          <w:noProof/>
        </w:rPr>
        <w:tab/>
      </w:r>
      <w:r>
        <w:rPr>
          <w:noProof/>
        </w:rPr>
        <w:fldChar w:fldCharType="begin"/>
      </w:r>
      <w:r>
        <w:rPr>
          <w:noProof/>
        </w:rPr>
        <w:instrText xml:space="preserve"> PAGEREF _Toc194339835 \h </w:instrText>
      </w:r>
      <w:r>
        <w:rPr>
          <w:noProof/>
        </w:rPr>
      </w:r>
      <w:r>
        <w:rPr>
          <w:noProof/>
        </w:rPr>
        <w:fldChar w:fldCharType="separate"/>
      </w:r>
      <w:r>
        <w:rPr>
          <w:noProof/>
        </w:rPr>
        <w:t>13</w:t>
      </w:r>
      <w:r>
        <w:rPr>
          <w:noProof/>
        </w:rPr>
        <w:fldChar w:fldCharType="end"/>
      </w:r>
    </w:p>
    <w:p w14:paraId="241650A1" w14:textId="07B5830E"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Initiative for Medicines, Access &amp; Knowledge (I-MAK) – uses wrong numbers for “evidence making” to support their position</w:t>
      </w:r>
      <w:r>
        <w:rPr>
          <w:noProof/>
        </w:rPr>
        <w:tab/>
      </w:r>
      <w:r>
        <w:rPr>
          <w:noProof/>
        </w:rPr>
        <w:fldChar w:fldCharType="begin"/>
      </w:r>
      <w:r>
        <w:rPr>
          <w:noProof/>
        </w:rPr>
        <w:instrText xml:space="preserve"> PAGEREF _Toc194339836 \h </w:instrText>
      </w:r>
      <w:r>
        <w:rPr>
          <w:noProof/>
        </w:rPr>
      </w:r>
      <w:r>
        <w:rPr>
          <w:noProof/>
        </w:rPr>
        <w:fldChar w:fldCharType="separate"/>
      </w:r>
      <w:r>
        <w:rPr>
          <w:noProof/>
        </w:rPr>
        <w:t>13</w:t>
      </w:r>
      <w:r>
        <w:rPr>
          <w:noProof/>
        </w:rPr>
        <w:fldChar w:fldCharType="end"/>
      </w:r>
    </w:p>
    <w:p w14:paraId="071FF80C" w14:textId="060DFD49"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Initiative for Medicines, Access, and Knowledge (I-MAK) and anyone quoting them (like the New York Times and the Joint US Patent and Trademark Office/FDA Public Listening Session)</w:t>
      </w:r>
      <w:r>
        <w:rPr>
          <w:noProof/>
        </w:rPr>
        <w:tab/>
      </w:r>
      <w:r>
        <w:rPr>
          <w:noProof/>
        </w:rPr>
        <w:fldChar w:fldCharType="begin"/>
      </w:r>
      <w:r>
        <w:rPr>
          <w:noProof/>
        </w:rPr>
        <w:instrText xml:space="preserve"> PAGEREF _Toc194339837 \h </w:instrText>
      </w:r>
      <w:r>
        <w:rPr>
          <w:noProof/>
        </w:rPr>
      </w:r>
      <w:r>
        <w:rPr>
          <w:noProof/>
        </w:rPr>
        <w:fldChar w:fldCharType="separate"/>
      </w:r>
      <w:r>
        <w:rPr>
          <w:noProof/>
        </w:rPr>
        <w:t>13</w:t>
      </w:r>
      <w:r>
        <w:rPr>
          <w:noProof/>
        </w:rPr>
        <w:fldChar w:fldCharType="end"/>
      </w:r>
    </w:p>
    <w:p w14:paraId="707BA9BE" w14:textId="668F96A8"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Burden of proof for patent policy change: AFF must prove IMAK (or anyone’s) numbers are accurate</w:t>
      </w:r>
      <w:r>
        <w:rPr>
          <w:noProof/>
        </w:rPr>
        <w:tab/>
      </w:r>
      <w:r>
        <w:rPr>
          <w:noProof/>
        </w:rPr>
        <w:fldChar w:fldCharType="begin"/>
      </w:r>
      <w:r>
        <w:rPr>
          <w:noProof/>
        </w:rPr>
        <w:instrText xml:space="preserve"> PAGEREF _Toc194339838 \h </w:instrText>
      </w:r>
      <w:r>
        <w:rPr>
          <w:noProof/>
        </w:rPr>
      </w:r>
      <w:r>
        <w:rPr>
          <w:noProof/>
        </w:rPr>
        <w:fldChar w:fldCharType="separate"/>
      </w:r>
      <w:r>
        <w:rPr>
          <w:noProof/>
        </w:rPr>
        <w:t>14</w:t>
      </w:r>
      <w:r>
        <w:rPr>
          <w:noProof/>
        </w:rPr>
        <w:fldChar w:fldCharType="end"/>
      </w:r>
    </w:p>
    <w:p w14:paraId="532BBF81" w14:textId="5938FABD" w:rsidR="00D85247" w:rsidRDefault="00D85247">
      <w:pPr>
        <w:pStyle w:val="TOC3"/>
        <w:rPr>
          <w:rFonts w:asciiTheme="minorHAnsi" w:eastAsiaTheme="minorEastAsia" w:hAnsiTheme="minorHAnsi" w:cstheme="minorBidi"/>
          <w:noProof/>
          <w:kern w:val="2"/>
          <w:sz w:val="24"/>
          <w:szCs w:val="24"/>
          <w14:ligatures w14:val="standardContextual"/>
        </w:rPr>
      </w:pPr>
      <w:r>
        <w:rPr>
          <w:noProof/>
        </w:rPr>
        <w:t>IMAK’s statistics on patents are massively wrong. And they hide their methodology</w:t>
      </w:r>
      <w:r>
        <w:rPr>
          <w:noProof/>
        </w:rPr>
        <w:tab/>
      </w:r>
      <w:r>
        <w:rPr>
          <w:noProof/>
        </w:rPr>
        <w:fldChar w:fldCharType="begin"/>
      </w:r>
      <w:r>
        <w:rPr>
          <w:noProof/>
        </w:rPr>
        <w:instrText xml:space="preserve"> PAGEREF _Toc194339839 \h </w:instrText>
      </w:r>
      <w:r>
        <w:rPr>
          <w:noProof/>
        </w:rPr>
      </w:r>
      <w:r>
        <w:rPr>
          <w:noProof/>
        </w:rPr>
        <w:fldChar w:fldCharType="separate"/>
      </w:r>
      <w:r>
        <w:rPr>
          <w:noProof/>
        </w:rPr>
        <w:t>14</w:t>
      </w:r>
      <w:r>
        <w:rPr>
          <w:noProof/>
        </w:rPr>
        <w:fldChar w:fldCharType="end"/>
      </w:r>
    </w:p>
    <w:p w14:paraId="5D7F073C" w14:textId="505E9DD7" w:rsidR="00D462AA" w:rsidRDefault="00DA2F2D" w:rsidP="00303BC4">
      <w:pPr>
        <w:pStyle w:val="Title2"/>
      </w:pPr>
      <w:r>
        <w:rPr>
          <w:sz w:val="22"/>
        </w:rPr>
        <w:lastRenderedPageBreak/>
        <w:fldChar w:fldCharType="end"/>
      </w:r>
      <w:bookmarkStart w:id="0" w:name="_Toc194339794"/>
      <w:r w:rsidR="00EE1E8E">
        <w:t>Negative</w:t>
      </w:r>
      <w:r w:rsidR="00CC737B">
        <w:t xml:space="preserve">: </w:t>
      </w:r>
      <w:r w:rsidR="00037128">
        <w:t>Pharmaceutical Data Exclusivity – not a problem</w:t>
      </w:r>
      <w:bookmarkEnd w:id="0"/>
    </w:p>
    <w:p w14:paraId="3C44CF61" w14:textId="3720954A" w:rsidR="00CF1F4D" w:rsidRDefault="00CF1F4D" w:rsidP="00CF1F4D">
      <w:pPr>
        <w:pStyle w:val="Contention1"/>
      </w:pPr>
      <w:bookmarkStart w:id="1" w:name="_Toc194339795"/>
      <w:r>
        <w:t>INHERENCY</w:t>
      </w:r>
      <w:bookmarkEnd w:id="1"/>
    </w:p>
    <w:p w14:paraId="7F141A47" w14:textId="59291936" w:rsidR="00CF1F4D" w:rsidRDefault="00CF1F4D" w:rsidP="00CF1F4D">
      <w:pPr>
        <w:pStyle w:val="Contention1"/>
      </w:pPr>
      <w:bookmarkStart w:id="2" w:name="_Toc194339796"/>
      <w:r>
        <w:t>1.  No barrier</w:t>
      </w:r>
      <w:bookmarkEnd w:id="2"/>
    </w:p>
    <w:p w14:paraId="0CFD2AE5" w14:textId="5CAC6385" w:rsidR="00CF1F4D" w:rsidRDefault="00CF1F4D" w:rsidP="00CF1F4D">
      <w:pPr>
        <w:pStyle w:val="Contention2"/>
      </w:pPr>
      <w:bookmarkStart w:id="3" w:name="_Toc194339797"/>
      <w:r>
        <w:t>Countries that have FTA (Free Trade Agreement) data exclusivity can create exceptions any time they want</w:t>
      </w:r>
      <w:bookmarkEnd w:id="3"/>
    </w:p>
    <w:p w14:paraId="107659B2" w14:textId="310A4367" w:rsidR="005D0B0E" w:rsidRDefault="005D0B0E" w:rsidP="005D0B0E">
      <w:pPr>
        <w:pStyle w:val="Citation3"/>
      </w:pPr>
      <w:r w:rsidRPr="005D0B0E">
        <w:rPr>
          <w:u w:val="single"/>
        </w:rPr>
        <w:t xml:space="preserve">Prof. Mohammad </w:t>
      </w:r>
      <w:proofErr w:type="spellStart"/>
      <w:r w:rsidRPr="005D0B0E">
        <w:rPr>
          <w:u w:val="single"/>
        </w:rPr>
        <w:t>Nsour</w:t>
      </w:r>
      <w:proofErr w:type="spellEnd"/>
      <w:r w:rsidRPr="005D0B0E">
        <w:rPr>
          <w:u w:val="single"/>
        </w:rPr>
        <w:t xml:space="preserve"> 2017</w:t>
      </w:r>
      <w:r>
        <w:t xml:space="preserve"> (associate professor, McGill Univ., Canada) HOUSTON JOURNAL OF INTERNATIONAL LAW “</w:t>
      </w:r>
      <w:r w:rsidRPr="005D0B0E">
        <w:t>Data Exclusivity for Pharmaceuticals in Free Trade Agreements: Models in Selected United States Free Trade Agreements</w:t>
      </w:r>
      <w:r>
        <w:t xml:space="preserve">” (accessed 29 Mar 2025) </w:t>
      </w:r>
      <w:r w:rsidRPr="005D0B0E">
        <w:t>https://www.academia.edu/98483523/Data_Exclusivity_for_Pharmaceuticals_in_Free_Trade_Agreements_Models_in_Selected_United_States_Free_Trade_Agreements</w:t>
      </w:r>
    </w:p>
    <w:p w14:paraId="47E07867" w14:textId="4EE7C3D0" w:rsidR="00CF1F4D" w:rsidRDefault="00CF1F4D" w:rsidP="00CF1F4D">
      <w:pPr>
        <w:pStyle w:val="Evidence"/>
      </w:pPr>
      <w:r w:rsidRPr="00CF1F4D">
        <w:t>Countries which have already signed the FTA can mitigate its effects on public health by limiting the scope of and provide exceptions to data exclusivity in national legislation. There are various remedies that may work to decrease the harmful effects of data exclusivity. Such corrective measures include waiving data-exclusivity protection in cases of compulsory licensing; limiting data exclusivity for new chemical entities; limiting data exclusivity for unpublished data; establishing a compulsory licensing system for registration data; and shortening the term of data exclusivity.</w:t>
      </w:r>
    </w:p>
    <w:p w14:paraId="30270743" w14:textId="1FCCB482" w:rsidR="00037128" w:rsidRDefault="00156FE9" w:rsidP="00156FE9">
      <w:pPr>
        <w:pStyle w:val="Contention1"/>
      </w:pPr>
      <w:bookmarkStart w:id="4" w:name="_Toc194339798"/>
      <w:r>
        <w:t>HARMS / SIGNIFICANCE</w:t>
      </w:r>
      <w:bookmarkEnd w:id="4"/>
    </w:p>
    <w:p w14:paraId="21C56F81" w14:textId="6B242D28" w:rsidR="00156FE9" w:rsidRDefault="00156FE9" w:rsidP="00156FE9">
      <w:pPr>
        <w:pStyle w:val="Contention1"/>
      </w:pPr>
      <w:bookmarkStart w:id="5" w:name="_Toc194339799"/>
      <w:r>
        <w:t>1.  Data Exclusivity harm impacts get confounded with other factors</w:t>
      </w:r>
      <w:bookmarkEnd w:id="5"/>
    </w:p>
    <w:p w14:paraId="31FDE2A9" w14:textId="3930DF4C" w:rsidR="00156FE9" w:rsidRDefault="00156FE9" w:rsidP="00156FE9">
      <w:pPr>
        <w:pStyle w:val="Contention2"/>
      </w:pPr>
      <w:bookmarkStart w:id="6" w:name="_Toc194339800"/>
      <w:r>
        <w:t>Can’t determine “data exclusivity” impact on drug prices because other policies at the same time confound the analysis</w:t>
      </w:r>
      <w:bookmarkEnd w:id="6"/>
    </w:p>
    <w:p w14:paraId="48789DA1" w14:textId="4E70F9EB" w:rsidR="00156FE9" w:rsidRDefault="00156FE9" w:rsidP="00156FE9">
      <w:pPr>
        <w:pStyle w:val="Constructive"/>
        <w:rPr>
          <w:b/>
          <w:bCs w:val="0"/>
        </w:rPr>
      </w:pPr>
      <w:r w:rsidRPr="00156FE9">
        <w:rPr>
          <w:b/>
          <w:bCs w:val="0"/>
        </w:rPr>
        <w:t>[This source generally agrees with the AFF position, but admits we can’t isolate the effects of data exclusivity in</w:t>
      </w:r>
      <w:r>
        <w:rPr>
          <w:b/>
          <w:bCs w:val="0"/>
        </w:rPr>
        <w:t>, for example,</w:t>
      </w:r>
      <w:r w:rsidRPr="00156FE9">
        <w:rPr>
          <w:b/>
          <w:bCs w:val="0"/>
        </w:rPr>
        <w:t xml:space="preserve"> Guatemala due to other policies happening at the same time]</w:t>
      </w:r>
    </w:p>
    <w:p w14:paraId="674FDD8C" w14:textId="63E34D61" w:rsidR="00156FE9" w:rsidRPr="00156FE9" w:rsidRDefault="00156FE9" w:rsidP="00156FE9">
      <w:pPr>
        <w:pStyle w:val="Citation3"/>
      </w:pPr>
      <w:r w:rsidRPr="00156FE9">
        <w:rPr>
          <w:u w:val="single"/>
        </w:rPr>
        <w:t xml:space="preserve">Michael </w:t>
      </w:r>
      <w:proofErr w:type="spellStart"/>
      <w:r w:rsidRPr="00156FE9">
        <w:rPr>
          <w:u w:val="single"/>
        </w:rPr>
        <w:t>Palmedo</w:t>
      </w:r>
      <w:proofErr w:type="spellEnd"/>
      <w:r w:rsidRPr="00156FE9">
        <w:rPr>
          <w:u w:val="single"/>
        </w:rPr>
        <w:t xml:space="preserve"> 2021</w:t>
      </w:r>
      <w:r>
        <w:t xml:space="preserve"> (directs interdisciplinary research on intellectual property at American Univ. Washington College of Law’s Program on Information Justice and Intellectual Property) “Evaluating the Impact of Data Exclusivity on the Price per Kilogram of Pharmaceutical Imports” (accessed 29 March 2025) </w:t>
      </w:r>
      <w:r w:rsidRPr="00156FE9">
        <w:t>https://www.bu.edu/gdp/files/2021/04/GEGI_WP_048_Palmedo_FIN.pdf</w:t>
      </w:r>
    </w:p>
    <w:p w14:paraId="59E4EEB0" w14:textId="53D33639" w:rsidR="00156FE9" w:rsidRDefault="00156FE9" w:rsidP="00156FE9">
      <w:pPr>
        <w:pStyle w:val="Evidence"/>
      </w:pPr>
      <w:r w:rsidRPr="00156FE9">
        <w:t>First, countries may implement data exclusivity while making simultaneous changes to other potentially impactful intellectual property or healthcare laws. This may be especially relevant when countries add data exclusivity as part of a law specifically intended to implement FTA obligations. For instance, Guatemala issued decrees in 2006 that introduced data exclusivity, extended patent terms, established linkage between health and patent authorities, and expanded the scope of patentability (</w:t>
      </w:r>
      <w:proofErr w:type="spellStart"/>
      <w:r w:rsidRPr="00156FE9">
        <w:t>Biadgleng</w:t>
      </w:r>
      <w:proofErr w:type="spellEnd"/>
      <w:r w:rsidRPr="00156FE9">
        <w:t xml:space="preserve"> and Maur 2011). It is difficult to tease out the impact of data exclusivity as opposed to other changes when multiple legal changes happen at once.</w:t>
      </w:r>
    </w:p>
    <w:p w14:paraId="074D18F2" w14:textId="77777777" w:rsidR="00CB6A14" w:rsidRDefault="00CB6A14">
      <w:pPr>
        <w:spacing w:after="0" w:line="240" w:lineRule="auto"/>
        <w:rPr>
          <w:rFonts w:eastAsia="Times New Roman"/>
          <w:b/>
          <w:bCs/>
          <w:color w:val="000000"/>
          <w:sz w:val="20"/>
          <w:szCs w:val="20"/>
          <w:lang w:eastAsia="fr-FR"/>
        </w:rPr>
      </w:pPr>
      <w:r>
        <w:br w:type="page"/>
      </w:r>
    </w:p>
    <w:p w14:paraId="55E57489" w14:textId="208E1F22" w:rsidR="00CB6A14" w:rsidRDefault="00CB6A14" w:rsidP="00CB6A14">
      <w:pPr>
        <w:pStyle w:val="Contention1"/>
      </w:pPr>
      <w:bookmarkStart w:id="7" w:name="_Toc194339801"/>
      <w:r>
        <w:lastRenderedPageBreak/>
        <w:t>2.   Data Exclusivity is usually irrelevant</w:t>
      </w:r>
      <w:bookmarkEnd w:id="7"/>
    </w:p>
    <w:p w14:paraId="36D430D9" w14:textId="458BD599" w:rsidR="00CB6A14" w:rsidRDefault="00CB6A14" w:rsidP="00CB6A14">
      <w:pPr>
        <w:pStyle w:val="Contention2"/>
      </w:pPr>
      <w:bookmarkStart w:id="8" w:name="_Toc194339802"/>
      <w:r>
        <w:t>Data exclusivity is usually irrelevant to drug availability because it runs concurrently with patent protection</w:t>
      </w:r>
      <w:bookmarkEnd w:id="8"/>
      <w:r>
        <w:t xml:space="preserve"> </w:t>
      </w:r>
    </w:p>
    <w:p w14:paraId="50958C91" w14:textId="5B4B5C77" w:rsidR="00CB6A14" w:rsidRDefault="00CB6A14" w:rsidP="00CB6A14">
      <w:pPr>
        <w:pStyle w:val="Constructive"/>
        <w:spacing w:line="240" w:lineRule="auto"/>
        <w:rPr>
          <w:b/>
          <w:bCs w:val="0"/>
        </w:rPr>
      </w:pPr>
      <w:r w:rsidRPr="00CB6A14">
        <w:rPr>
          <w:b/>
          <w:bCs w:val="0"/>
        </w:rPr>
        <w:t>[If a drug is under patent protection, then it has market exclusion, so the fact that is also has data exclusivity is irrelevant because the drug is already protected by patent and the data restriction adds nothing to it.</w:t>
      </w:r>
      <w:r>
        <w:rPr>
          <w:b/>
          <w:bCs w:val="0"/>
        </w:rPr>
        <w:t xml:space="preserve">  Note that this evidence is specifically talking about Free Trade Agreements in context.</w:t>
      </w:r>
      <w:r w:rsidRPr="00CB6A14">
        <w:rPr>
          <w:b/>
          <w:bCs w:val="0"/>
        </w:rPr>
        <w:t>]</w:t>
      </w:r>
    </w:p>
    <w:p w14:paraId="1AA1BC95" w14:textId="2BB207D3" w:rsidR="00CB6A14" w:rsidRPr="00CB6A14" w:rsidRDefault="00CB6A14" w:rsidP="00CB6A14">
      <w:pPr>
        <w:pStyle w:val="Citation3"/>
      </w:pPr>
      <w:r w:rsidRPr="00CB6A14">
        <w:rPr>
          <w:u w:val="single"/>
        </w:rPr>
        <w:t>Bryan Mercurio and Pratyush Upreti 2023</w:t>
      </w:r>
      <w:r>
        <w:t xml:space="preserve">. (Mercurio - </w:t>
      </w:r>
      <w:r w:rsidRPr="00CB6A14">
        <w:t>Chinese University of Hong Kong</w:t>
      </w:r>
      <w:r>
        <w:t xml:space="preserve">. Upreti - </w:t>
      </w:r>
      <w:r w:rsidRPr="00CB6A14">
        <w:t>Chinese University of Hong Kong</w:t>
      </w:r>
      <w:r>
        <w:t xml:space="preserve">) 18 July 2023 JOURNAL OF LAW &amp; THE BIOSCIENCES </w:t>
      </w:r>
      <w:r w:rsidRPr="00CB6A14">
        <w:t xml:space="preserve">Patent term extension and test data protection obligations: identifying the gap in policy, research, and practice of implementing free trade agreements </w:t>
      </w:r>
      <w:r>
        <w:t xml:space="preserve"> (accessed 31 Mar 2025) </w:t>
      </w:r>
      <w:r w:rsidRPr="00CB6A14">
        <w:t>https://academic.oup.com/jlb/article/10/2/lsad017/7210272</w:t>
      </w:r>
    </w:p>
    <w:p w14:paraId="4A1819C8" w14:textId="76CA75A2" w:rsidR="00CB6A14" w:rsidRDefault="00CB6A14" w:rsidP="00CB6A14">
      <w:pPr>
        <w:pStyle w:val="Evidence"/>
      </w:pPr>
      <w:r w:rsidRPr="00CB6A14">
        <w:t>It is also important to note that test data protection usually runs concurrently alongside patent protection, and often ends prior to the expiration of the relevant patents. Thus, any cost to test data protection occurs as a result of there being no original patent, the patent(s) being invalidated, or the expiration of the patent(s) prior to the conclusion of the test data protection. The latter occurs where, for instance, regulatory delays resulted in the drug coming to market with only a few years of patent protection remaining.</w:t>
      </w:r>
    </w:p>
    <w:p w14:paraId="675510D7" w14:textId="507750D7" w:rsidR="00542317" w:rsidRDefault="00542317" w:rsidP="00542317">
      <w:pPr>
        <w:pStyle w:val="Contention1"/>
      </w:pPr>
      <w:bookmarkStart w:id="9" w:name="_Toc194339803"/>
      <w:r>
        <w:t xml:space="preserve">3.  </w:t>
      </w:r>
      <w:r w:rsidR="00ED1D10">
        <w:t xml:space="preserve">Insufficient </w:t>
      </w:r>
      <w:r>
        <w:t>harm studies</w:t>
      </w:r>
      <w:r w:rsidR="00ED1D10">
        <w:t xml:space="preserve"> to justify policy change</w:t>
      </w:r>
      <w:bookmarkEnd w:id="9"/>
    </w:p>
    <w:p w14:paraId="62642084" w14:textId="253A1153" w:rsidR="00542317" w:rsidRDefault="00ED1D10" w:rsidP="00542317">
      <w:pPr>
        <w:pStyle w:val="Contention2"/>
      </w:pPr>
      <w:bookmarkStart w:id="10" w:name="_Toc194339804"/>
      <w:r>
        <w:t>T</w:t>
      </w:r>
      <w:r w:rsidR="00542317">
        <w:t>here are no studies proving the negative financial impact of data exclusivity for pharmaceuticals.  Support for that claim requires more study</w:t>
      </w:r>
      <w:r>
        <w:t xml:space="preserve"> to justify policy decisions</w:t>
      </w:r>
      <w:bookmarkEnd w:id="10"/>
    </w:p>
    <w:p w14:paraId="305EF182" w14:textId="77777777" w:rsidR="00542317" w:rsidRPr="00CB6A14" w:rsidRDefault="00542317" w:rsidP="00542317">
      <w:pPr>
        <w:pStyle w:val="Citation3"/>
      </w:pPr>
      <w:r w:rsidRPr="00CB6A14">
        <w:rPr>
          <w:u w:val="single"/>
        </w:rPr>
        <w:t>Bryan Mercurio and Pratyush Upreti 2023</w:t>
      </w:r>
      <w:r>
        <w:t xml:space="preserve">. (Mercurio - </w:t>
      </w:r>
      <w:r w:rsidRPr="00CB6A14">
        <w:t>Chinese University of Hong Kong</w:t>
      </w:r>
      <w:r>
        <w:t xml:space="preserve">. Upreti - </w:t>
      </w:r>
      <w:r w:rsidRPr="00CB6A14">
        <w:t>Chinese University of Hong Kong</w:t>
      </w:r>
      <w:r>
        <w:t xml:space="preserve">) 18 July 2023 JOURNAL OF LAW &amp; THE BIOSCIENCES </w:t>
      </w:r>
      <w:r w:rsidRPr="00CB6A14">
        <w:t xml:space="preserve">Patent term extension and test data protection obligations: identifying the gap in policy, research, and practice of implementing free trade agreements </w:t>
      </w:r>
      <w:r>
        <w:t xml:space="preserve"> (accessed 31 Mar 2025) </w:t>
      </w:r>
      <w:r w:rsidRPr="00CB6A14">
        <w:t>https://academic.oup.com/jlb/article/10/2/lsad017/7210272</w:t>
      </w:r>
    </w:p>
    <w:p w14:paraId="6099BD97" w14:textId="1853B5F2" w:rsidR="00542317" w:rsidRDefault="00542317" w:rsidP="00542317">
      <w:pPr>
        <w:pStyle w:val="Evidence"/>
      </w:pPr>
      <w:r w:rsidRPr="00542317">
        <w:t>Thus, we conclude that most of the discussion related to the impact of the FTA provisions of PTE and test data protection on the pricing of pharmaceutical products lacks solid empirical grounding. This is not to argue that one should assume the potential implications of PTE and test data protection obligations to be nil; rather, there is a need for governments to conduct a detailed analysis of PTE and test data protection so that policymakers can be better prepared and make better decisions leading to improved provisions in FTAs and health outcomes.</w:t>
      </w:r>
    </w:p>
    <w:p w14:paraId="2F9ECE4C" w14:textId="16A62546" w:rsidR="00037128" w:rsidRDefault="00037128" w:rsidP="00037128">
      <w:pPr>
        <w:pStyle w:val="Contention1"/>
      </w:pPr>
      <w:bookmarkStart w:id="11" w:name="_Toc194339805"/>
      <w:r>
        <w:t>SOLVENCY</w:t>
      </w:r>
      <w:bookmarkEnd w:id="11"/>
    </w:p>
    <w:p w14:paraId="739F2EFF" w14:textId="063C0364" w:rsidR="00037128" w:rsidRDefault="00037128" w:rsidP="00037128">
      <w:pPr>
        <w:pStyle w:val="Contention1"/>
      </w:pPr>
      <w:bookmarkStart w:id="12" w:name="_Toc194339806"/>
      <w:r>
        <w:t>1.  Endless litigation</w:t>
      </w:r>
      <w:bookmarkEnd w:id="12"/>
    </w:p>
    <w:p w14:paraId="7EF170DE" w14:textId="0A3222ED" w:rsidR="00037128" w:rsidRDefault="00037128" w:rsidP="00037128">
      <w:pPr>
        <w:pStyle w:val="Contention2"/>
      </w:pPr>
      <w:bookmarkStart w:id="13" w:name="_Toc194339807"/>
      <w:r>
        <w:t xml:space="preserve">May sound like a good idea, but restricting data exclusivity will end up in </w:t>
      </w:r>
      <w:r w:rsidR="00FE5B7F">
        <w:t>protracted</w:t>
      </w:r>
      <w:r>
        <w:t xml:space="preserve"> litigation and delay</w:t>
      </w:r>
      <w:bookmarkEnd w:id="13"/>
      <w:r>
        <w:t xml:space="preserve"> </w:t>
      </w:r>
    </w:p>
    <w:p w14:paraId="2AD94C0A" w14:textId="47CCAEBC" w:rsidR="00037128" w:rsidRDefault="00037128" w:rsidP="00037128">
      <w:pPr>
        <w:pStyle w:val="Citation3"/>
      </w:pPr>
      <w:r w:rsidRPr="00FE5B7F">
        <w:rPr>
          <w:u w:val="single"/>
        </w:rPr>
        <w:t>Ellen Hoen 2021</w:t>
      </w:r>
      <w:r>
        <w:t>. (</w:t>
      </w:r>
      <w:r w:rsidR="00FE5B7F">
        <w:t>attorney, research fellow at the Univ. of Amsterdam</w:t>
      </w:r>
      <w:r>
        <w:t>) 28 Oct 2021 “</w:t>
      </w:r>
      <w:r w:rsidRPr="00037128">
        <w:t>Protection of Clinical Test Data and Public Health: A Proposal to End the Stronghold of Data Exclusivity</w:t>
      </w:r>
      <w:r>
        <w:t xml:space="preserve">” </w:t>
      </w:r>
      <w:hyperlink r:id="rId8" w:anchor="Sec21" w:history="1">
        <w:r w:rsidRPr="00650852">
          <w:rPr>
            <w:rStyle w:val="Hyperlink"/>
          </w:rPr>
          <w:t>https://link.springer.com/chapter/10.1007/978-3-030-83114-1_7#Sec21</w:t>
        </w:r>
      </w:hyperlink>
      <w:r>
        <w:t xml:space="preserve"> (accessed 29 Mar 2025) </w:t>
      </w:r>
    </w:p>
    <w:p w14:paraId="6C65B7AF" w14:textId="35D74C1F" w:rsidR="00037128" w:rsidRDefault="00037128" w:rsidP="00037128">
      <w:pPr>
        <w:pStyle w:val="Evidence"/>
      </w:pPr>
      <w:r w:rsidRPr="00037128">
        <w:t xml:space="preserve">Some scholars have argued that the issuance of a compulsory </w:t>
      </w:r>
      <w:proofErr w:type="spellStart"/>
      <w:r w:rsidRPr="00037128">
        <w:t>licence</w:t>
      </w:r>
      <w:proofErr w:type="spellEnd"/>
      <w:r w:rsidRPr="00037128">
        <w:t xml:space="preserve"> for public interest reasons creates the obligation for the patent holder to provide a waiver to data exclusivity. A company holding a dominant position in the market that denies access to the data held by the regulatory authority in the case of a compulsory </w:t>
      </w:r>
      <w:proofErr w:type="spellStart"/>
      <w:r w:rsidRPr="00037128">
        <w:t>licence</w:t>
      </w:r>
      <w:proofErr w:type="spellEnd"/>
      <w:r w:rsidRPr="00037128">
        <w:t xml:space="preserve"> is likely to be viewed as abusive under competition law since national authorities have already decided that the public interest requires an additional product on the market. However, enforcing this position will likely lead to protracted legal procedures and delays in the availability of the medicine for which the compulsory </w:t>
      </w:r>
      <w:proofErr w:type="spellStart"/>
      <w:r w:rsidRPr="00037128">
        <w:t>licence</w:t>
      </w:r>
      <w:proofErr w:type="spellEnd"/>
      <w:r w:rsidRPr="00037128">
        <w:t xml:space="preserve"> was requested.</w:t>
      </w:r>
    </w:p>
    <w:p w14:paraId="1E367AE3" w14:textId="77777777" w:rsidR="00C356C2" w:rsidRDefault="00C356C2">
      <w:pPr>
        <w:spacing w:after="0" w:line="240" w:lineRule="auto"/>
        <w:rPr>
          <w:rFonts w:eastAsia="Times New Roman"/>
          <w:b/>
          <w:bCs/>
          <w:color w:val="000000"/>
          <w:sz w:val="20"/>
          <w:szCs w:val="20"/>
          <w:lang w:eastAsia="fr-FR"/>
        </w:rPr>
      </w:pPr>
      <w:r>
        <w:br w:type="page"/>
      </w:r>
    </w:p>
    <w:p w14:paraId="0891EBB2" w14:textId="02E4CA6D" w:rsidR="00FE5B7F" w:rsidRDefault="00FE5B7F" w:rsidP="00FE5B7F">
      <w:pPr>
        <w:pStyle w:val="Contention1"/>
      </w:pPr>
      <w:bookmarkStart w:id="14" w:name="_Toc194339808"/>
      <w:r>
        <w:lastRenderedPageBreak/>
        <w:t>2.  WTO (World Trade Organization) Incompetence</w:t>
      </w:r>
      <w:bookmarkEnd w:id="14"/>
    </w:p>
    <w:p w14:paraId="558E9EB3" w14:textId="5D51A4FC" w:rsidR="00A626BF" w:rsidRDefault="00A626BF" w:rsidP="00FE5B7F">
      <w:pPr>
        <w:pStyle w:val="Contention2"/>
      </w:pPr>
      <w:bookmarkStart w:id="15" w:name="_Toc194339809"/>
      <w:r>
        <w:t>WTO can’t enforce its rules because of US policies that interfere with and appeals and dispute settlement</w:t>
      </w:r>
      <w:bookmarkEnd w:id="15"/>
    </w:p>
    <w:p w14:paraId="02612D57" w14:textId="382B659C" w:rsidR="00A626BF" w:rsidRDefault="00A626BF" w:rsidP="00A626BF">
      <w:pPr>
        <w:pStyle w:val="Constructive"/>
        <w:spacing w:line="240" w:lineRule="auto"/>
        <w:rPr>
          <w:b/>
          <w:bCs w:val="0"/>
        </w:rPr>
      </w:pPr>
      <w:r w:rsidRPr="00A626BF">
        <w:rPr>
          <w:b/>
          <w:bCs w:val="0"/>
        </w:rPr>
        <w:t xml:space="preserve">[And no, AFF can’t just fiat that the US changes its policies on </w:t>
      </w:r>
      <w:r>
        <w:rPr>
          <w:b/>
          <w:bCs w:val="0"/>
        </w:rPr>
        <w:t>the appellate body that is supposed to enforce</w:t>
      </w:r>
      <w:r w:rsidRPr="00A626BF">
        <w:rPr>
          <w:b/>
          <w:bCs w:val="0"/>
        </w:rPr>
        <w:t xml:space="preserve"> WTO</w:t>
      </w:r>
      <w:r>
        <w:rPr>
          <w:b/>
          <w:bCs w:val="0"/>
        </w:rPr>
        <w:t xml:space="preserve"> rules. </w:t>
      </w:r>
      <w:r w:rsidRPr="00A626BF">
        <w:rPr>
          <w:b/>
          <w:bCs w:val="0"/>
        </w:rPr>
        <w:t xml:space="preserve"> WTO includes almost every country in the world, and WTO itself is not a country nor is it one of the 6 resolution countries.</w:t>
      </w:r>
      <w:r>
        <w:rPr>
          <w:b/>
          <w:bCs w:val="0"/>
        </w:rPr>
        <w:t xml:space="preserve">  And they certainly can’t fiat or even hope that the resolution countries will obey WTO rules, when WTO has no means of enforcing them.</w:t>
      </w:r>
      <w:r w:rsidRPr="00A626BF">
        <w:rPr>
          <w:b/>
          <w:bCs w:val="0"/>
        </w:rPr>
        <w:t>]</w:t>
      </w:r>
    </w:p>
    <w:p w14:paraId="192D5D76" w14:textId="27F14DFD" w:rsidR="00A626BF" w:rsidRPr="00A626BF" w:rsidRDefault="00A626BF" w:rsidP="00A626BF">
      <w:pPr>
        <w:pStyle w:val="Citation3"/>
      </w:pPr>
      <w:r w:rsidRPr="00A626BF">
        <w:rPr>
          <w:u w:val="single"/>
        </w:rPr>
        <w:t>Evan Rogerson 2024</w:t>
      </w:r>
      <w:r>
        <w:t>. (</w:t>
      </w:r>
      <w:r w:rsidRPr="00A626BF">
        <w:t>Adjunct Senior Fellow, Centre for Multilateralism Studies, S. Rajaratnam School of International Studies</w:t>
      </w:r>
      <w:r>
        <w:t>, Council on Foreign Relations) 6 March 2024 “</w:t>
      </w:r>
      <w:r w:rsidRPr="00A626BF">
        <w:t>The WTO at a Crossroads: What the Failed Ministerial Conference Means</w:t>
      </w:r>
      <w:r>
        <w:t xml:space="preserve">” (accessed 29 Mar 2025) </w:t>
      </w:r>
      <w:r w:rsidRPr="00A626BF">
        <w:t>https://www.cfr.org/councilofcouncils/global-memos/wto-crossroads-what-failed-ministerial-conference-means</w:t>
      </w:r>
    </w:p>
    <w:p w14:paraId="4087F547" w14:textId="7E293749" w:rsidR="00A626BF" w:rsidRDefault="00A626BF" w:rsidP="00A626BF">
      <w:pPr>
        <w:pStyle w:val="Evidence"/>
      </w:pPr>
      <w:r>
        <w:t>Another supposed success was renewing the commitment to have a competent, fully functioning dispute-settlement system by 2024. This seems farfetched, as the United States shows no signs that it is willing to return to the binding dispute-settlement system that had been the key innovation when the WTO was created twenty-five years ago. The principle of nondiscrimination is another vital pillar of the WTO, and even of its predecessor, the General Agreement on Tariffs and Trade (GATT). But the United States keeps its discriminatory tariffs on imports from China, and the Chinese have reacted with their own bilateral trade measures. Moreover, a new Donald Trump administration could impose even higher tariffs, especially on goods from China. WTO rules are thus openly flouted.</w:t>
      </w:r>
    </w:p>
    <w:p w14:paraId="6CC0B8BC" w14:textId="1A9B5EC0" w:rsidR="00FE5B7F" w:rsidRDefault="00FE5B7F" w:rsidP="00FE5B7F">
      <w:pPr>
        <w:pStyle w:val="Contention2"/>
      </w:pPr>
      <w:bookmarkStart w:id="16" w:name="_Toc194339810"/>
      <w:r>
        <w:t>WTO can’t manage international trade because its appellate system is broken</w:t>
      </w:r>
      <w:bookmarkEnd w:id="16"/>
      <w:r>
        <w:t xml:space="preserve"> </w:t>
      </w:r>
    </w:p>
    <w:p w14:paraId="51D288F3" w14:textId="54E0BBE1" w:rsidR="00FE5B7F" w:rsidRDefault="00FE5B7F" w:rsidP="00FE5B7F">
      <w:pPr>
        <w:pStyle w:val="Citation3"/>
      </w:pPr>
      <w:r w:rsidRPr="00FE5B7F">
        <w:rPr>
          <w:u w:val="single"/>
        </w:rPr>
        <w:t>James Bacchus 2022</w:t>
      </w:r>
      <w:r>
        <w:t xml:space="preserve"> (</w:t>
      </w:r>
      <w:r w:rsidRPr="00FE5B7F">
        <w:t>founding judge and was twice the chairman of the highest tribunal of world trade, the Appellate Body of the World Trade Organization in Geneva. He has judged more international trade disputes in the WTO than anyone else in the world</w:t>
      </w:r>
      <w:r>
        <w:t>) “</w:t>
      </w:r>
      <w:r w:rsidRPr="00FE5B7F">
        <w:t>WTO Steps Back from the Abyss of Irrelevance… but Crucial Issues Remain Unresolved</w:t>
      </w:r>
      <w:r>
        <w:t xml:space="preserve">” 17 June 2022 (accessed 29 Mar 2025) </w:t>
      </w:r>
      <w:r w:rsidRPr="00FE5B7F">
        <w:t>https://www.cato.org/blog/wto-steps-back-abyss-irrelevance-crucial-issues-remain-unresolved?gad_source=1&amp;gclid=Cj0KCQjwtJ6_BhDWARIsAGanmKdvKkJrSijn5go1B4EteTZ6Hd5oHYmlnGKuqO6Se-aqQ3J3POGXi7gaAhxHEALw_wcB</w:t>
      </w:r>
    </w:p>
    <w:p w14:paraId="5D027261" w14:textId="12987DDF" w:rsidR="00FE5B7F" w:rsidRDefault="00FE5B7F" w:rsidP="00FE5B7F">
      <w:pPr>
        <w:pStyle w:val="Evidence"/>
      </w:pPr>
      <w:r>
        <w:t>Strikingly, there is no specific commitment to restore the Appellate Body, perhaps a tacit concession to the fact-free bullying of the protectionist elements in sway in the United States on this issue, intended to get the Americans to sign the document. Ultimately, this will not do. The Appellate Body must be restored and remain independent and impartial if the effectiveness and the credibility of the WTO dispute settlement system are to be perpetuated and if, thereby, the international rule of law in trade is to be upheld in the multilateral trading system. Too, the agreements reached in Geneva, in addition to being largely partial and procrastinating solutions, are but a few of the agreements that must be negotiated and concluded to make the WTO fit for purpose to confront the outpouring of trade and trade-related challenges in the 21st century.</w:t>
      </w:r>
    </w:p>
    <w:p w14:paraId="34E1ABAB" w14:textId="77777777" w:rsidR="00EC5ED4" w:rsidRDefault="00EC5ED4">
      <w:pPr>
        <w:spacing w:after="0" w:line="240" w:lineRule="auto"/>
        <w:rPr>
          <w:rFonts w:eastAsia="Times New Roman"/>
          <w:b/>
          <w:bCs/>
          <w:color w:val="000000"/>
          <w:sz w:val="20"/>
          <w:szCs w:val="20"/>
          <w:lang w:eastAsia="fr-FR"/>
        </w:rPr>
      </w:pPr>
      <w:r>
        <w:br w:type="page"/>
      </w:r>
    </w:p>
    <w:p w14:paraId="493E9068" w14:textId="02BC0A53" w:rsidR="000E5DE4" w:rsidRDefault="000E5DE4" w:rsidP="000E5DE4">
      <w:pPr>
        <w:pStyle w:val="Contention1"/>
      </w:pPr>
      <w:bookmarkStart w:id="17" w:name="_Toc194339811"/>
      <w:r>
        <w:lastRenderedPageBreak/>
        <w:t xml:space="preserve">3.  </w:t>
      </w:r>
      <w:r w:rsidR="00C356C2">
        <w:t>U</w:t>
      </w:r>
      <w:r>
        <w:t>nrelated to CAFTA</w:t>
      </w:r>
      <w:bookmarkEnd w:id="17"/>
    </w:p>
    <w:p w14:paraId="6A5CCF8A" w14:textId="77777777" w:rsidR="000E5DE4" w:rsidRDefault="000E5DE4" w:rsidP="000E5DE4">
      <w:pPr>
        <w:pStyle w:val="Contention2"/>
      </w:pPr>
      <w:bookmarkStart w:id="18" w:name="_Toc194339812"/>
      <w:r>
        <w:t>BIG LINK: AFF Plan changes only Data Exclusivity provisions linked to CAFTA</w:t>
      </w:r>
      <w:bookmarkEnd w:id="18"/>
    </w:p>
    <w:p w14:paraId="6A9A02ED" w14:textId="2EB48597" w:rsidR="000E5DE4" w:rsidRDefault="000E5DE4" w:rsidP="000E5DE4">
      <w:pPr>
        <w:pStyle w:val="Evidence"/>
      </w:pPr>
      <w:r>
        <w:t>They can’t fiat that other countries will change their laws</w:t>
      </w:r>
      <w:r w:rsidR="0073768D">
        <w:t>.  E</w:t>
      </w:r>
      <w:r>
        <w:t xml:space="preserve">ven if they could, the problem is that </w:t>
      </w:r>
      <w:r w:rsidR="0073768D">
        <w:t xml:space="preserve">5 of the 6 resolution </w:t>
      </w:r>
      <w:r>
        <w:t xml:space="preserve">countries’ data exclusivity laws are separate from, and different from, the requirements of CAFTA.  </w:t>
      </w:r>
      <w:r w:rsidR="00EC5ED4">
        <w:t>AFF is simply trying to fiat that 6 countries change their internal laws passed by their legislatures – an impossible task in a policy debate about reforming US foreign policy.</w:t>
      </w:r>
    </w:p>
    <w:p w14:paraId="56964652" w14:textId="1BE48671" w:rsidR="00C356C2" w:rsidRDefault="00C356C2" w:rsidP="00C356C2">
      <w:pPr>
        <w:pStyle w:val="Contention2"/>
      </w:pPr>
      <w:bookmarkStart w:id="19" w:name="_Toc194339813"/>
      <w:r>
        <w:t>CAFTA wasn’t responsible for strict data exclusivity laws in the resolution countries.  Turn: If they implemented CAFTA-level data protection, it would REDUCE data exclusivity!</w:t>
      </w:r>
      <w:bookmarkEnd w:id="19"/>
    </w:p>
    <w:p w14:paraId="0B67BD2C" w14:textId="77777777" w:rsidR="00C356C2" w:rsidRDefault="00C356C2" w:rsidP="00C356C2">
      <w:pPr>
        <w:pStyle w:val="Citation3"/>
      </w:pPr>
      <w:r w:rsidRPr="00EC5ED4">
        <w:rPr>
          <w:u w:val="single"/>
        </w:rPr>
        <w:t xml:space="preserve">Rosario Cartagena &amp; </w:t>
      </w:r>
      <w:r>
        <w:rPr>
          <w:u w:val="single"/>
        </w:rPr>
        <w:t xml:space="preserve">Prof. </w:t>
      </w:r>
      <w:r w:rsidRPr="00EC5ED4">
        <w:rPr>
          <w:u w:val="single"/>
        </w:rPr>
        <w:t>Amir Attaran 2009</w:t>
      </w:r>
      <w:r>
        <w:t xml:space="preserve">. (Cartagena – student, Univ. of Ottawa, Canada.  Attaran – </w:t>
      </w:r>
      <w:r w:rsidRPr="00EC5ED4">
        <w:t>Univ</w:t>
      </w:r>
      <w:r>
        <w:t>.</w:t>
      </w:r>
      <w:r w:rsidRPr="00EC5ED4">
        <w:t xml:space="preserve"> of Ottawa - Dept of Epidemiology and Community Medicine</w:t>
      </w:r>
      <w:r>
        <w:t>) “</w:t>
      </w:r>
      <w:r w:rsidRPr="000E5DE4">
        <w:t>A Study of Pharmaceutical Data Exclusivity Laws in Latin America: Is Access to Affordable Medicine Threatened?</w:t>
      </w:r>
      <w:r>
        <w:t xml:space="preserve">” HEALTH LAW JOURNAL (accessed 29 Mar 2025) </w:t>
      </w:r>
      <w:hyperlink r:id="rId9" w:history="1">
        <w:r w:rsidRPr="00650852">
          <w:rPr>
            <w:rStyle w:val="Hyperlink"/>
          </w:rPr>
          <w:t>https://papers.ssrn.com/sol3/papers.cfm?abstract_id=1620606</w:t>
        </w:r>
      </w:hyperlink>
      <w:r>
        <w:t xml:space="preserve"> (ellipses in original)</w:t>
      </w:r>
    </w:p>
    <w:p w14:paraId="0201E7BD" w14:textId="5F015C91" w:rsidR="00C356C2" w:rsidRDefault="00C356C2" w:rsidP="00C356C2">
      <w:pPr>
        <w:pStyle w:val="Evidence"/>
      </w:pPr>
      <w:r w:rsidRPr="00C356C2">
        <w:rPr>
          <w:u w:val="single"/>
        </w:rPr>
        <w:t>The problem with the hypothesis that FTAs are uniquely responsible for advancing</w:t>
      </w:r>
      <w:r w:rsidRPr="00C356C2">
        <w:t xml:space="preserve"> TRIPS-plus </w:t>
      </w:r>
      <w:r w:rsidRPr="00C356C2">
        <w:rPr>
          <w:u w:val="single"/>
        </w:rPr>
        <w:t xml:space="preserve">data exclusivity </w:t>
      </w:r>
      <w:r w:rsidRPr="00C356C2">
        <w:t xml:space="preserve">in countries that can ill afford it </w:t>
      </w:r>
      <w:r w:rsidRPr="00C356C2">
        <w:rPr>
          <w:u w:val="single"/>
        </w:rPr>
        <w:t>is that, in a number of cases, the countries in question already possessed domestic data exclusivity laws far in excess of anything stipulated in FTAs. For example, years before they signed any FTAs with data exclusivity clauses, Costa Rica, Guatemala and Honduras already possessed domestic laws providing for never-ending, eternal data protection. No FTA goes as far as that</w:t>
      </w:r>
      <w:r w:rsidRPr="00C356C2">
        <w:t xml:space="preserve">. The standard term in U.S. FTAs is only 5 years, and indeed, not even the domestic law of the U.S. or E.U. goes as far as that. The same is true of, for example, Guatemala’s domestic law which protects the data of pharmaceutical products not containing new chemical entities, but merely new active ingredients. Again no FTA requires such stringent or extensive data protection. To blame the FTAs as being the vector for TRIPS-plus levels of data protection in such circumstances is illogical. </w:t>
      </w:r>
      <w:r w:rsidRPr="00C356C2">
        <w:rPr>
          <w:u w:val="single"/>
        </w:rPr>
        <w:t>In fact, if these countries implemented the U.S.-CAFTA-DR FTA that they signed into domestic law, paradoxically it would result in them lowering the standard of data exclusivity that now exists</w:t>
      </w:r>
      <w:r w:rsidRPr="00C356C2">
        <w:t>.</w:t>
      </w:r>
    </w:p>
    <w:p w14:paraId="4198C045" w14:textId="58083B0A" w:rsidR="000E5DE4" w:rsidRDefault="000E5DE4" w:rsidP="000E5DE4">
      <w:pPr>
        <w:pStyle w:val="Contention2"/>
      </w:pPr>
      <w:bookmarkStart w:id="20" w:name="_Toc194339814"/>
      <w:r>
        <w:t>Failure: Costa Rica’s pharmaceutical data exclusivity laws are unrelated to CAFTA</w:t>
      </w:r>
      <w:bookmarkEnd w:id="20"/>
      <w:r>
        <w:t xml:space="preserve"> </w:t>
      </w:r>
    </w:p>
    <w:p w14:paraId="47AD5A56" w14:textId="7BE3F556" w:rsidR="000E5DE4" w:rsidRDefault="000E5DE4" w:rsidP="000E5DE4">
      <w:pPr>
        <w:pStyle w:val="Citation3"/>
      </w:pPr>
      <w:r w:rsidRPr="00EC5ED4">
        <w:rPr>
          <w:u w:val="single"/>
        </w:rPr>
        <w:t xml:space="preserve">Rosario Cartagena &amp; </w:t>
      </w:r>
      <w:r w:rsidR="00EC5ED4">
        <w:rPr>
          <w:u w:val="single"/>
        </w:rPr>
        <w:t xml:space="preserve">Prof. </w:t>
      </w:r>
      <w:r w:rsidRPr="00EC5ED4">
        <w:rPr>
          <w:u w:val="single"/>
        </w:rPr>
        <w:t>Amir Attaran 2009</w:t>
      </w:r>
      <w:r>
        <w:t xml:space="preserve">. </w:t>
      </w:r>
      <w:r w:rsidR="00EC5ED4">
        <w:t xml:space="preserve">(Cartagena – student, Univ. of Ottawa, Canada.  Attaran – </w:t>
      </w:r>
      <w:r w:rsidR="00EC5ED4" w:rsidRPr="00EC5ED4">
        <w:t>Univ</w:t>
      </w:r>
      <w:r w:rsidR="00EC5ED4">
        <w:t>.</w:t>
      </w:r>
      <w:r w:rsidR="00EC5ED4" w:rsidRPr="00EC5ED4">
        <w:t xml:space="preserve"> of Ottawa - Dept of Epidemiology and Community Medicine</w:t>
      </w:r>
      <w:r w:rsidR="00EC5ED4">
        <w:t xml:space="preserve">) </w:t>
      </w:r>
      <w:r>
        <w:t>“</w:t>
      </w:r>
      <w:r w:rsidRPr="000E5DE4">
        <w:t>A Study of Pharmaceutical Data Exclusivity Laws in Latin America: Is Access to Affordable Medicine Threatened?</w:t>
      </w:r>
      <w:r>
        <w:t xml:space="preserve">” HEALTH LAW JOURNAL (accessed 29 Mar 2025) </w:t>
      </w:r>
      <w:hyperlink r:id="rId10" w:history="1">
        <w:r w:rsidR="00EC5ED4" w:rsidRPr="00650852">
          <w:rPr>
            <w:rStyle w:val="Hyperlink"/>
          </w:rPr>
          <w:t>https://papers.ssrn.com/sol3/papers.cfm?abstract_id=1620606</w:t>
        </w:r>
      </w:hyperlink>
      <w:r w:rsidR="00EC5ED4">
        <w:t xml:space="preserve"> (ellipses in original)</w:t>
      </w:r>
    </w:p>
    <w:p w14:paraId="4DCCBB69" w14:textId="39B7A5FB" w:rsidR="000E5DE4" w:rsidRDefault="000E5DE4" w:rsidP="000E5DE4">
      <w:pPr>
        <w:pStyle w:val="Evidence"/>
      </w:pPr>
      <w:r w:rsidRPr="000E5DE4">
        <w:t>The CAFTA-DR countries are quite varied. At present, Costa Rica’s domestic legislation, is unusual in far surpassing the requirements of the U.S.-CAFTA-DR FTA. In other words, the legislation is much more stringent. It contains a striking provision assuring exclusivity for data collected on new pharmaceutical chemical, but without an end date. Could it be the data is meant to be protected eternally? There is, however, a generous clause which can be used to ease access to medicines, and it reads that “protection for data will be against all unfair commercial use, except when the use of the data is required to protect the public,” such as may arise “to protect life, health or the security of humans … or to prevent against abuses in intellectual property.” There is an obvious need for Costa Rica to amend this inadequate legislation, and at least to provide an end date on its data exclusivity obligations.</w:t>
      </w:r>
    </w:p>
    <w:p w14:paraId="11FE156F" w14:textId="6ED2CC8D" w:rsidR="000E5DE4" w:rsidRDefault="00EC5ED4" w:rsidP="000E5DE4">
      <w:pPr>
        <w:pStyle w:val="Contention2"/>
      </w:pPr>
      <w:bookmarkStart w:id="21" w:name="_Toc194339815"/>
      <w:r>
        <w:lastRenderedPageBreak/>
        <w:t>Failure:  Guatemala’s data exclusivity laws are unrelated to CAFTA</w:t>
      </w:r>
      <w:bookmarkEnd w:id="21"/>
    </w:p>
    <w:p w14:paraId="7F27D0F2" w14:textId="57EDC970" w:rsidR="00EC5ED4" w:rsidRDefault="00EC5ED4" w:rsidP="00EC5ED4">
      <w:pPr>
        <w:pStyle w:val="Citation3"/>
      </w:pPr>
      <w:r w:rsidRPr="00EC5ED4">
        <w:rPr>
          <w:u w:val="single"/>
        </w:rPr>
        <w:t xml:space="preserve">Rosario Cartagena &amp; </w:t>
      </w:r>
      <w:r>
        <w:rPr>
          <w:u w:val="single"/>
        </w:rPr>
        <w:t xml:space="preserve">Prof. </w:t>
      </w:r>
      <w:r w:rsidRPr="00EC5ED4">
        <w:rPr>
          <w:u w:val="single"/>
        </w:rPr>
        <w:t>Amir Attaran 2009</w:t>
      </w:r>
      <w:r>
        <w:t xml:space="preserve">. (Cartagena – student, Univ. of Ottawa, Canada.  Attaran – </w:t>
      </w:r>
      <w:r w:rsidRPr="00EC5ED4">
        <w:t>Univ</w:t>
      </w:r>
      <w:r>
        <w:t>.</w:t>
      </w:r>
      <w:r w:rsidRPr="00EC5ED4">
        <w:t xml:space="preserve"> of Ottawa - Dept of Epidemiology and Community Medicine</w:t>
      </w:r>
      <w:r>
        <w:t>) “</w:t>
      </w:r>
      <w:r w:rsidRPr="000E5DE4">
        <w:t>A Study of Pharmaceutical Data Exclusivity Laws in Latin America: Is Access to Affordable Medicine Threatened?</w:t>
      </w:r>
      <w:r>
        <w:t xml:space="preserve">” HEALTH LAW JOURNAL (accessed 29 Mar 2025) </w:t>
      </w:r>
      <w:hyperlink r:id="rId11" w:history="1">
        <w:r w:rsidRPr="00650852">
          <w:rPr>
            <w:rStyle w:val="Hyperlink"/>
          </w:rPr>
          <w:t>https://papers.ssrn.com/sol3/papers.cfm?abstract_id=1620606</w:t>
        </w:r>
      </w:hyperlink>
      <w:r>
        <w:t xml:space="preserve"> </w:t>
      </w:r>
    </w:p>
    <w:p w14:paraId="5F1CF534" w14:textId="17E89701" w:rsidR="00EC5ED4" w:rsidRDefault="00EC5ED4" w:rsidP="00EC5ED4">
      <w:pPr>
        <w:pStyle w:val="Evidence"/>
      </w:pPr>
      <w:r w:rsidRPr="00EC5ED4">
        <w:t>The domestic legislation of Guatemala deviates markedly from the U.S.-CAFTA-DR FTA, and similar to the Costa Rican law; it actually is far more stringent on data exclusivity than the FTA. To begin with the legislation’s data exclusivity rights are unprecedentedly expansive and apply not only to pharmaceutical products containing new chemical entities but also to those containing new active ingredients. This language means that a reformulation of an existing medicine, containing no new chemical entity, would trigger data protection afresh – a circumstance neither required by the U.S.-CAFTA-DR FTA, nor normal in other countries’ laws.</w:t>
      </w:r>
    </w:p>
    <w:p w14:paraId="34002686" w14:textId="2B6F2B38" w:rsidR="0073768D" w:rsidRDefault="0073768D" w:rsidP="0073768D">
      <w:pPr>
        <w:pStyle w:val="Contention2"/>
      </w:pPr>
      <w:bookmarkStart w:id="22" w:name="_Toc194339816"/>
      <w:r>
        <w:t>Nicaragua was the only country that linked its data exclusivity laws to CAFTA</w:t>
      </w:r>
      <w:bookmarkEnd w:id="22"/>
    </w:p>
    <w:p w14:paraId="128721A6" w14:textId="781C8453" w:rsidR="0073768D" w:rsidRDefault="0073768D" w:rsidP="0073768D">
      <w:pPr>
        <w:pStyle w:val="Citation3"/>
      </w:pPr>
      <w:r w:rsidRPr="00EC5ED4">
        <w:rPr>
          <w:u w:val="single"/>
        </w:rPr>
        <w:t xml:space="preserve">Rosario Cartagena &amp; </w:t>
      </w:r>
      <w:r>
        <w:rPr>
          <w:u w:val="single"/>
        </w:rPr>
        <w:t xml:space="preserve">Prof. </w:t>
      </w:r>
      <w:r w:rsidRPr="00EC5ED4">
        <w:rPr>
          <w:u w:val="single"/>
        </w:rPr>
        <w:t>Amir Attaran 2009</w:t>
      </w:r>
      <w:r>
        <w:t xml:space="preserve">. (Cartagena – student, Univ. of Ottawa, Canada.  Attaran – </w:t>
      </w:r>
      <w:r w:rsidRPr="00EC5ED4">
        <w:t>Univ</w:t>
      </w:r>
      <w:r>
        <w:t>.</w:t>
      </w:r>
      <w:r w:rsidRPr="00EC5ED4">
        <w:t xml:space="preserve"> of Ottawa - Dept of Epidemiology and Community Medicine</w:t>
      </w:r>
      <w:r>
        <w:t>) “</w:t>
      </w:r>
      <w:r w:rsidRPr="000E5DE4">
        <w:t>A Study of Pharmaceutical Data Exclusivity Laws in Latin America: Is Access to Affordable Medicine Threatened?</w:t>
      </w:r>
      <w:r>
        <w:t xml:space="preserve">” HEALTH LAW JOURNAL (accessed 29 Mar 2025) </w:t>
      </w:r>
      <w:hyperlink r:id="rId12" w:history="1">
        <w:r w:rsidRPr="00650852">
          <w:rPr>
            <w:rStyle w:val="Hyperlink"/>
          </w:rPr>
          <w:t>https://papers.ssrn.com/sol3/papers.cfm?abstract_id=1620606</w:t>
        </w:r>
      </w:hyperlink>
      <w:r>
        <w:t xml:space="preserve"> (ellipses in original)</w:t>
      </w:r>
    </w:p>
    <w:p w14:paraId="033C886A" w14:textId="6A3072DE" w:rsidR="0073768D" w:rsidRDefault="0073768D" w:rsidP="00EC5ED4">
      <w:pPr>
        <w:pStyle w:val="Evidence"/>
      </w:pPr>
      <w:r w:rsidRPr="0073768D">
        <w:t>Nicaragua recently enacted a new law which introduced amendments to its patent law to ensure that it abides by the U.S.-CAFTA-DR FTA. Although the law states that protection for the data of pharmaceutical products “should be granted for a period of five years” – and not “for at least 5 years” like in the FTA – it qualifies this difference by including the phrase, “in conformity with … Article 15.10 of the CAFTA-DR FTA.” The legislation also makes reference to ensuring that data exclusivity laws in Nicaragua are in conformity with the U.S.-CAFTA-DR FTA – the only country whose laws make that mention.</w:t>
      </w:r>
    </w:p>
    <w:p w14:paraId="1B1DD4D7" w14:textId="71F9A902" w:rsidR="00FE5B7F" w:rsidRDefault="00FE5B7F" w:rsidP="000E5DE4">
      <w:pPr>
        <w:pStyle w:val="Contention2"/>
      </w:pPr>
    </w:p>
    <w:p w14:paraId="6732CF1C" w14:textId="6F58F867" w:rsidR="00FE5B7F" w:rsidRDefault="000F707C" w:rsidP="000F707C">
      <w:pPr>
        <w:pStyle w:val="Contention1"/>
      </w:pPr>
      <w:bookmarkStart w:id="23" w:name="_Toc194339817"/>
      <w:r>
        <w:t>DISADVANTAGES</w:t>
      </w:r>
      <w:bookmarkEnd w:id="23"/>
    </w:p>
    <w:p w14:paraId="516CCA81" w14:textId="22ADC2CF" w:rsidR="000F707C" w:rsidRDefault="000F707C" w:rsidP="000F707C">
      <w:pPr>
        <w:pStyle w:val="Contention1"/>
      </w:pPr>
      <w:bookmarkStart w:id="24" w:name="_Toc194339818"/>
      <w:r>
        <w:t>1.   Loss of pharmaceutical R&amp;D</w:t>
      </w:r>
      <w:bookmarkEnd w:id="24"/>
    </w:p>
    <w:p w14:paraId="3B640CF7" w14:textId="3A0787DF" w:rsidR="000F707C" w:rsidRDefault="000F707C" w:rsidP="000F707C">
      <w:pPr>
        <w:pStyle w:val="Contention2"/>
      </w:pPr>
      <w:bookmarkStart w:id="25" w:name="_Toc194339819"/>
      <w:r>
        <w:t xml:space="preserve">Link:  Data Exclusivity </w:t>
      </w:r>
      <w:r w:rsidR="002B0F97">
        <w:t>gives a</w:t>
      </w:r>
      <w:r>
        <w:t xml:space="preserve"> profit incentive for pharmaceutical R&amp;D to develop new drugs</w:t>
      </w:r>
      <w:bookmarkEnd w:id="25"/>
    </w:p>
    <w:p w14:paraId="3F475BAA" w14:textId="5237BD83" w:rsidR="000F707C" w:rsidRPr="000F707C" w:rsidRDefault="000F707C" w:rsidP="000F707C">
      <w:pPr>
        <w:pStyle w:val="Citation3"/>
      </w:pPr>
      <w:r w:rsidRPr="000F707C">
        <w:rPr>
          <w:u w:val="single"/>
        </w:rPr>
        <w:t>Congressional Research Service 2024</w:t>
      </w:r>
      <w:r w:rsidRPr="000F707C">
        <w:t xml:space="preserve">. (non-partisan research agency of Congress) 30 Jan 2024 “The Role of Patents and Regulatory Exclusivities in Drug Pricing” </w:t>
      </w:r>
      <w:hyperlink r:id="rId13" w:history="1">
        <w:r w:rsidRPr="000F707C">
          <w:rPr>
            <w:rStyle w:val="Hyperlink"/>
            <w:color w:val="auto"/>
            <w:u w:val="none"/>
          </w:rPr>
          <w:t>https://www.congress.gov/crs-product/R46679</w:t>
        </w:r>
      </w:hyperlink>
      <w:r w:rsidRPr="000F707C">
        <w:t xml:space="preserve"> (accessed 29 Mar 2025)</w:t>
      </w:r>
    </w:p>
    <w:p w14:paraId="1012C945" w14:textId="60F77966" w:rsidR="000F707C" w:rsidRDefault="000F707C" w:rsidP="000F707C">
      <w:pPr>
        <w:pStyle w:val="Evidence"/>
      </w:pPr>
      <w:r w:rsidRPr="000F707C">
        <w:rPr>
          <w:u w:val="single"/>
        </w:rPr>
        <w:t>To balance increasing competition—which the abbreviated approval pathways aim to facilitate—with the countervailing interest in encouraging innovation, federal law establishes periods of regulatory exclusivity that limit FDA's ability to approve generic drugs and biosimilars under certain circumstances. These regulatory exclusivities aim to encourage companies to incur the expense of generating clinical data</w:t>
      </w:r>
      <w:r>
        <w:t xml:space="preserve"> and other information needed to support an NDA or BLA </w:t>
      </w:r>
      <w:r w:rsidRPr="000F707C">
        <w:rPr>
          <w:u w:val="single"/>
        </w:rPr>
        <w:t>for new drugs or biological products</w:t>
      </w:r>
      <w:r>
        <w:t xml:space="preserve">.  They also encourage follow-on product manufacturers to submit abbreviated applications as soon as permissible. There are two general categories of regulatory exclusivity: (1) data exclusivity, which precludes other applicants from relying on FDA's safety and effectiveness findings for the reference product (based on the NDA or BLA holder's data) to demonstrate a follow-on product's safety and effectiveness; and (2) marketing exclusivity, which precludes FDA from approving any other application for the same pharmaceutical product and use, regardless of whether the applicant has generated its own safety and effectiveness data. During a period of data exclusivity, a company could submit an NDA or BLA for the same pharmaceutical product and use if it conducted its own clinical trials. </w:t>
      </w:r>
      <w:r w:rsidRPr="000F707C">
        <w:rPr>
          <w:u w:val="single"/>
        </w:rPr>
        <w:t>Functionally, data exclusivity and marketing exclusivity may generate the same result due to the investment required to generate the necessary data</w:t>
      </w:r>
      <w:r>
        <w:t>.</w:t>
      </w:r>
    </w:p>
    <w:p w14:paraId="54EC06B1" w14:textId="1C606847" w:rsidR="00DE6FD6" w:rsidRDefault="00DE6FD6" w:rsidP="00DE6FD6">
      <w:pPr>
        <w:pStyle w:val="Contention2"/>
      </w:pPr>
      <w:bookmarkStart w:id="26" w:name="_Toc194339820"/>
      <w:r>
        <w:lastRenderedPageBreak/>
        <w:t>Link:  Data exclusivity specifically links to revenue needed for R&amp;D of new drugs</w:t>
      </w:r>
      <w:bookmarkEnd w:id="26"/>
    </w:p>
    <w:p w14:paraId="35EB50C6" w14:textId="77777777" w:rsidR="00DE6FD6" w:rsidRPr="00CB6A14" w:rsidRDefault="00DE6FD6" w:rsidP="00DE6FD6">
      <w:pPr>
        <w:pStyle w:val="Citation3"/>
      </w:pPr>
      <w:r w:rsidRPr="00CB6A14">
        <w:rPr>
          <w:u w:val="single"/>
        </w:rPr>
        <w:t>Bryan Mercurio and Pratyush Upreti 2023</w:t>
      </w:r>
      <w:r>
        <w:t xml:space="preserve">. (Mercurio - </w:t>
      </w:r>
      <w:r w:rsidRPr="00CB6A14">
        <w:t>Chinese University of Hong Kong</w:t>
      </w:r>
      <w:r>
        <w:t xml:space="preserve">. Upreti - </w:t>
      </w:r>
      <w:r w:rsidRPr="00CB6A14">
        <w:t>Chinese University of Hong Kong</w:t>
      </w:r>
      <w:r>
        <w:t xml:space="preserve">) 18 July 2023 JOURNAL OF LAW &amp; THE BIOSCIENCES </w:t>
      </w:r>
      <w:r w:rsidRPr="00CB6A14">
        <w:t xml:space="preserve">Patent term extension and test data protection obligations: identifying the gap in policy, research, and practice of implementing free trade agreements </w:t>
      </w:r>
      <w:r>
        <w:t xml:space="preserve"> (accessed 31 Mar 2025) </w:t>
      </w:r>
      <w:r w:rsidRPr="00CB6A14">
        <w:t>https://academic.oup.com/jlb/article/10/2/lsad017/7210272</w:t>
      </w:r>
    </w:p>
    <w:p w14:paraId="2B10B5C9" w14:textId="77777777" w:rsidR="00DE6FD6" w:rsidRPr="00DE6FD6" w:rsidRDefault="00DE6FD6" w:rsidP="00DE6FD6">
      <w:pPr>
        <w:pStyle w:val="Evidence"/>
      </w:pPr>
      <w:r w:rsidRPr="00DE6FD6">
        <w:t>The objective of test data protection is to compensate the innovator/originator of a new product (and hence allow for the protection of their investment) for the time and money invested in inventing, testing, and bringing the product to market. The monetary costs involved in this process can be significant (not to mention the cost in time and human resources), and therefore it makes sense to ensure that the fruits of the investment are not simply handed over to generic competitors.</w:t>
      </w:r>
    </w:p>
    <w:p w14:paraId="7E31DF7C" w14:textId="77777777" w:rsidR="002B0F97" w:rsidRDefault="002B0F97" w:rsidP="002B0F97">
      <w:pPr>
        <w:pStyle w:val="Contention2"/>
      </w:pPr>
      <w:bookmarkStart w:id="27" w:name="_Toc180243056"/>
      <w:bookmarkStart w:id="28" w:name="_Toc194339821"/>
      <w:bookmarkStart w:id="29" w:name="_Toc180236349"/>
      <w:r>
        <w:t>Link:  Sales revenue directly links to drug industry R&amp;D expenditures</w:t>
      </w:r>
      <w:bookmarkEnd w:id="27"/>
      <w:bookmarkEnd w:id="28"/>
    </w:p>
    <w:p w14:paraId="5A57848B" w14:textId="77777777" w:rsidR="002B0F97" w:rsidRDefault="002B0F97" w:rsidP="002B0F97">
      <w:pPr>
        <w:pStyle w:val="Citation3"/>
      </w:pPr>
      <w:proofErr w:type="spellStart"/>
      <w:r w:rsidRPr="00A16196">
        <w:rPr>
          <w:u w:val="single"/>
        </w:rPr>
        <w:t>Trelysa</w:t>
      </w:r>
      <w:proofErr w:type="spellEnd"/>
      <w:r w:rsidRPr="00A16196">
        <w:rPr>
          <w:u w:val="single"/>
        </w:rPr>
        <w:t xml:space="preserve"> Long and Stephen Ezell 2023</w:t>
      </w:r>
      <w:r>
        <w:t xml:space="preserve"> (Long - </w:t>
      </w:r>
      <w:r w:rsidRPr="00C8607D">
        <w:t>policy analyst for antitrust policy with I</w:t>
      </w:r>
      <w:r>
        <w:t xml:space="preserve">nformation </w:t>
      </w:r>
      <w:proofErr w:type="spellStart"/>
      <w:r w:rsidRPr="00C8607D">
        <w:t>T</w:t>
      </w:r>
      <w:r>
        <w:t>echnolgoy</w:t>
      </w:r>
      <w:proofErr w:type="spellEnd"/>
      <w:r>
        <w:t xml:space="preserve"> &amp; </w:t>
      </w:r>
      <w:r w:rsidRPr="00C8607D">
        <w:t>I</w:t>
      </w:r>
      <w:r>
        <w:t xml:space="preserve">nnovation </w:t>
      </w:r>
      <w:r w:rsidRPr="00C8607D">
        <w:t>F</w:t>
      </w:r>
      <w:r>
        <w:t>oundation</w:t>
      </w:r>
      <w:r w:rsidRPr="00C8607D">
        <w:t>’s Schumpeter Project on Competition Policy. She was previously an economic policy intern with the U.S. Chamber of Commerce</w:t>
      </w:r>
      <w:r>
        <w:t xml:space="preserve">.  Ezell - </w:t>
      </w:r>
      <w:r w:rsidRPr="00DC3CE4">
        <w:t>vice president for global innovation policy at the Information Technology and Innovation Foundation</w:t>
      </w:r>
      <w:r>
        <w:t>) 17 July 2023 “</w:t>
      </w:r>
      <w:r w:rsidRPr="00C8607D">
        <w:t>The Hidden Toll of Drug Price Controls: Fewer New Treatments and Higher Medical Costs for the World</w:t>
      </w:r>
      <w:r>
        <w:t>” (</w:t>
      </w:r>
      <w:r w:rsidRPr="00C831BC">
        <w:t xml:space="preserve">accessed 19 Oct 2024) </w:t>
      </w:r>
      <w:hyperlink r:id="rId14" w:history="1">
        <w:r w:rsidRPr="00C831BC">
          <w:t>https://itif.org/publications/2023/07/17/hidden-toll-of-drug-price-controls-fewer-new-treatments-higher-medical-costs-for-world/</w:t>
        </w:r>
      </w:hyperlink>
      <w:r w:rsidRPr="00C831BC">
        <w:t xml:space="preserve"> (ellipses and brackets in original)</w:t>
      </w:r>
    </w:p>
    <w:p w14:paraId="6A84A2EF" w14:textId="77777777" w:rsidR="002B0F97" w:rsidRDefault="002B0F97" w:rsidP="002B0F97">
      <w:pPr>
        <w:pStyle w:val="Evidence"/>
      </w:pPr>
      <w:r w:rsidRPr="00C8607D">
        <w:t>According to Lakdawalla, since cash flow “appears to be one of the most empirically important determinants of private R&amp;D spending by private pharmaceutical firms … [even] short term deviations in profitability … predict R&amp;D expenditures.”50 As a result, the OECD’s “Pharmaceutical Pricing Policies in a Global Market” report finds that “there is a high degree of correlation between sales revenues and R&amp;D expenditure,” while Henderson and Cockburn noted that “R&amp;D expenditures are directly proportional to the amount of sales revenues available to undertake R&amp;D investments.”</w:t>
      </w:r>
    </w:p>
    <w:p w14:paraId="7D6B8DE0" w14:textId="77777777" w:rsidR="002B0F97" w:rsidRDefault="002B0F97" w:rsidP="002B0F97">
      <w:pPr>
        <w:pStyle w:val="Contention2"/>
      </w:pPr>
      <w:bookmarkStart w:id="30" w:name="_Toc180243057"/>
      <w:bookmarkStart w:id="31" w:name="_Toc194339822"/>
      <w:r>
        <w:t>Link:  Development of even 1 drug is expensive – about $2.6 billion – because most research programs fail</w:t>
      </w:r>
      <w:bookmarkEnd w:id="29"/>
      <w:bookmarkEnd w:id="30"/>
      <w:bookmarkEnd w:id="31"/>
    </w:p>
    <w:p w14:paraId="222ECF86" w14:textId="77777777" w:rsidR="002B0F97" w:rsidRDefault="002B0F97" w:rsidP="002B0F97">
      <w:pPr>
        <w:pStyle w:val="Citation3"/>
      </w:pPr>
      <w:r w:rsidRPr="00465E5F">
        <w:rPr>
          <w:u w:val="single"/>
        </w:rPr>
        <w:t xml:space="preserve">Prof. Erika </w:t>
      </w:r>
      <w:proofErr w:type="spellStart"/>
      <w:r w:rsidRPr="00465E5F">
        <w:rPr>
          <w:u w:val="single"/>
        </w:rPr>
        <w:t>Lietzan</w:t>
      </w:r>
      <w:proofErr w:type="spellEnd"/>
      <w:r w:rsidRPr="00465E5F">
        <w:rPr>
          <w:u w:val="single"/>
        </w:rPr>
        <w:t xml:space="preserve"> 2020</w:t>
      </w:r>
      <w:r>
        <w:t xml:space="preserve"> (Law </w:t>
      </w:r>
      <w:r w:rsidRPr="00465E5F">
        <w:t>Professor, Univ of Missouri School of Law</w:t>
      </w:r>
      <w:r>
        <w:t>) Fall 2020 “</w:t>
      </w:r>
      <w:r w:rsidRPr="00653125">
        <w:t>The Evergreening Myth</w:t>
      </w:r>
      <w:r>
        <w:t xml:space="preserve">” (accessed 18 Oct 2024) </w:t>
      </w:r>
      <w:r w:rsidRPr="00653125">
        <w:t>https://www.cato.org/regulation/fall-2020/evergreening-myth</w:t>
      </w:r>
    </w:p>
    <w:p w14:paraId="78DC18F9" w14:textId="77777777" w:rsidR="002B0F97" w:rsidRDefault="002B0F97" w:rsidP="002B0F97">
      <w:pPr>
        <w:pStyle w:val="Evidence"/>
      </w:pPr>
      <w:r w:rsidRPr="00E05222">
        <w:t>A firm that wants to market a new drug must prove to the FDA that the drug is safe and effective. Generating this information takes years, beginning with work in the laboratory and on animals, and progressing through several rounds of “clinical” testing in humans. For new molecules, the clinical portion of this research and development program averages six years. The process is also expensive: the Tufts Center for the Study of Drug Development now estimates the average cost of developing a new molecular entity at $2.6 billion. That figure includes average out-of-pocket costs of $1.4 billion and reflects the cost of unsuccessful projects. Most research and development programs fail.</w:t>
      </w:r>
    </w:p>
    <w:p w14:paraId="652DADBB" w14:textId="27203BEB" w:rsidR="005171FD" w:rsidRDefault="005171FD" w:rsidP="005171FD">
      <w:pPr>
        <w:pStyle w:val="Contention2"/>
      </w:pPr>
      <w:bookmarkStart w:id="32" w:name="_Toc194339823"/>
      <w:r>
        <w:lastRenderedPageBreak/>
        <w:t>Link &amp; Impact:  Data exclusivity restriction contains an explicit trade-off between current and future generations.  Less exclusivity means generic drugs faster now, but at the cost of fewer new drugs in the future</w:t>
      </w:r>
      <w:bookmarkEnd w:id="32"/>
    </w:p>
    <w:p w14:paraId="7432C9AE" w14:textId="11FE2637" w:rsidR="005171FD" w:rsidRDefault="005171FD" w:rsidP="005171FD">
      <w:pPr>
        <w:pStyle w:val="Citation3"/>
      </w:pPr>
      <w:r w:rsidRPr="005171FD">
        <w:rPr>
          <w:u w:val="single"/>
        </w:rPr>
        <w:t>Dana P Goldman, Darius N Lakdawalla, Jesse D Malkin, John Romley, Tomas Philipson  2011</w:t>
      </w:r>
      <w:r>
        <w:t xml:space="preserve"> (Goldman, Romley and Lakdawalla - </w:t>
      </w:r>
      <w:r w:rsidRPr="005171FD">
        <w:t>Schaeffer Center for Health Policy and Economics University of Southern Calif</w:t>
      </w:r>
      <w:r>
        <w:t xml:space="preserve">.  Malkin - </w:t>
      </w:r>
      <w:r w:rsidRPr="005171FD">
        <w:t>Precision Health Economics</w:t>
      </w:r>
      <w:r>
        <w:t xml:space="preserve">.  Philipson - </w:t>
      </w:r>
      <w:r w:rsidRPr="005171FD">
        <w:t>Irving B. Harris Graduate School of Public Policy Studies Univ of Chicago</w:t>
      </w:r>
      <w:r>
        <w:t>) “</w:t>
      </w:r>
      <w:r w:rsidRPr="005171FD">
        <w:t>The Benefits From Giving Makers Of Conventional `Small Molecule' Drugs Longer Exclusivity Over Clinical Trial Data</w:t>
      </w:r>
      <w:r>
        <w:t xml:space="preserve">” (accessed 29 Mar 2025) </w:t>
      </w:r>
      <w:r w:rsidRPr="005171FD">
        <w:t>https://pmc.ncbi.nlm.nih.gov/articles/PMC3804334/</w:t>
      </w:r>
    </w:p>
    <w:p w14:paraId="0A916150" w14:textId="77777777" w:rsidR="005171FD" w:rsidRPr="005171FD" w:rsidRDefault="005171FD" w:rsidP="005171FD">
      <w:pPr>
        <w:pStyle w:val="Evidence"/>
      </w:pPr>
      <w:r w:rsidRPr="005171FD">
        <w:t>The duration of the data exclusivity period entails a trade-off between current and future generations. A longer period delays competition from generic drug companies, effectively extending the originator's exclusive position in the marketplace. The prospect of higher profits gives drug companies a stronger incentive to innovate—both to create new drugs and to find new indications for existing products. An increase in innovation, in turn, benefits future generations of consumers. At the same time, however, a delay in generic competition imposes a greater spending burden on current consumers. So an increase in the length of data exclusivity benefits future generations, but at the expense of today's drug consumers.</w:t>
      </w:r>
    </w:p>
    <w:p w14:paraId="0BA06EB2" w14:textId="0310CBDC" w:rsidR="005171FD" w:rsidRDefault="005171FD" w:rsidP="005171FD">
      <w:pPr>
        <w:pStyle w:val="Contention2"/>
      </w:pPr>
      <w:bookmarkStart w:id="33" w:name="_Toc194339824"/>
      <w:r>
        <w:t xml:space="preserve">Impact:  Net benefits favor longer data exclusivity.  Long-term R&amp;D (with longer data exclusivity) has higher net benefits </w:t>
      </w:r>
      <w:r w:rsidR="004D5C71">
        <w:t xml:space="preserve">because of the value of the new drugs that would be </w:t>
      </w:r>
      <w:r w:rsidR="00DD47C3">
        <w:t>come</w:t>
      </w:r>
      <w:r w:rsidR="004D5C71">
        <w:t xml:space="preserve"> with the increased</w:t>
      </w:r>
      <w:r w:rsidR="00DD47C3">
        <w:t xml:space="preserve"> revenue</w:t>
      </w:r>
      <w:bookmarkEnd w:id="33"/>
      <w:r w:rsidR="004D5C71">
        <w:t xml:space="preserve"> </w:t>
      </w:r>
    </w:p>
    <w:p w14:paraId="61375498" w14:textId="77777777" w:rsidR="005171FD" w:rsidRDefault="005171FD" w:rsidP="005171FD">
      <w:pPr>
        <w:pStyle w:val="Citation3"/>
      </w:pPr>
      <w:r w:rsidRPr="005171FD">
        <w:rPr>
          <w:u w:val="single"/>
        </w:rPr>
        <w:t>Dana P Goldman, Darius N Lakdawalla, Jesse D Malkin, John Romley, Tomas Philipson  2011</w:t>
      </w:r>
      <w:r>
        <w:t xml:space="preserve"> (Goldman, Romley and Lakdawalla - </w:t>
      </w:r>
      <w:r w:rsidRPr="005171FD">
        <w:t>Schaeffer Center for Health Policy and Economics University of Southern Calif</w:t>
      </w:r>
      <w:r>
        <w:t xml:space="preserve">.  Malkin - </w:t>
      </w:r>
      <w:r w:rsidRPr="005171FD">
        <w:t>Precision Health Economics</w:t>
      </w:r>
      <w:r>
        <w:t xml:space="preserve">.  Philipson - </w:t>
      </w:r>
      <w:r w:rsidRPr="005171FD">
        <w:t>Irving B. Harris Graduate School of Public Policy Studies Univ of Chicago</w:t>
      </w:r>
      <w:r>
        <w:t>) “</w:t>
      </w:r>
      <w:r w:rsidRPr="005171FD">
        <w:t>The Benefits From Giving Makers Of Conventional `Small Molecule' Drugs Longer Exclusivity Over Clinical Trial Data</w:t>
      </w:r>
      <w:r>
        <w:t xml:space="preserve">” (accessed 29 Mar 2025) </w:t>
      </w:r>
      <w:r w:rsidRPr="005171FD">
        <w:t>https://pmc.ncbi.nlm.nih.gov/articles/PMC3804334/</w:t>
      </w:r>
    </w:p>
    <w:p w14:paraId="7F50E69A" w14:textId="57C3CB50" w:rsidR="005171FD" w:rsidRDefault="005171FD" w:rsidP="005171FD">
      <w:pPr>
        <w:pStyle w:val="Evidence"/>
      </w:pPr>
      <w:r w:rsidRPr="005171FD">
        <w:t>We also determined that expanding data exclusivity to twelve years would result in 228 extra drug approvals between 2020 and 2060, relative to the number of approvals that we project under the current Hatch-Waxman data exclusivity provisions.</w:t>
      </w:r>
      <w:r>
        <w:br/>
      </w:r>
      <w:r w:rsidRPr="005171FD">
        <w:rPr>
          <w:b/>
          <w:bCs w:val="0"/>
        </w:rPr>
        <w:t xml:space="preserve">END QUOTE. THEY CONTINUE LATER IN THE </w:t>
      </w:r>
      <w:r>
        <w:rPr>
          <w:b/>
          <w:bCs w:val="0"/>
        </w:rPr>
        <w:t>ARTICLE</w:t>
      </w:r>
      <w:r w:rsidRPr="005171FD">
        <w:rPr>
          <w:b/>
          <w:bCs w:val="0"/>
        </w:rPr>
        <w:t xml:space="preserve"> QUOTE:</w:t>
      </w:r>
      <w:r>
        <w:br/>
      </w:r>
      <w:r w:rsidRPr="005171FD">
        <w:t>In most of these scenarios, the net benefit of a twelve-year period of data exclusivity to people age fifty-five was positive from 2020 through 2060. The costs exceeded the benefits—and so longer data exclusivity was harmful—only for the lowest levels of the innovation elasticity (0.5–1.0) and the value of a life-year ($50,000). These parameter levels are much smaller than the best available evidence (described earlier). Hence, even though there is uncertainty about model parameters, a lengthier data exclusivity period would likely be beneficial overall.</w:t>
      </w:r>
    </w:p>
    <w:p w14:paraId="432E1B74" w14:textId="46F4D13C" w:rsidR="00B50993" w:rsidRDefault="00B50993" w:rsidP="00B50993">
      <w:pPr>
        <w:pStyle w:val="Contention2"/>
      </w:pPr>
      <w:bookmarkStart w:id="34" w:name="_Toc194339825"/>
      <w:r>
        <w:lastRenderedPageBreak/>
        <w:t>Impact:  Actual study trumps anyone’s opinions.  Longer data exclusivity is net beneficial.  If we do any policy change, it should be for LONGER exclusivity, not shorter</w:t>
      </w:r>
      <w:bookmarkEnd w:id="34"/>
    </w:p>
    <w:p w14:paraId="0EF1A385" w14:textId="77777777" w:rsidR="00B50993" w:rsidRDefault="00B50993" w:rsidP="00B50993">
      <w:pPr>
        <w:pStyle w:val="Citation3"/>
      </w:pPr>
      <w:r w:rsidRPr="005171FD">
        <w:rPr>
          <w:u w:val="single"/>
        </w:rPr>
        <w:t>Dana P Goldman, Darius N Lakdawalla, Jesse D Malkin, John Romley, Tomas Philipson  2011</w:t>
      </w:r>
      <w:r>
        <w:t xml:space="preserve"> (Goldman, Romley and Lakdawalla - </w:t>
      </w:r>
      <w:r w:rsidRPr="005171FD">
        <w:t>Schaeffer Center for Health Policy and Economics University of Southern Calif</w:t>
      </w:r>
      <w:r>
        <w:t xml:space="preserve">.  Malkin - </w:t>
      </w:r>
      <w:r w:rsidRPr="005171FD">
        <w:t>Precision Health Economics</w:t>
      </w:r>
      <w:r>
        <w:t xml:space="preserve">.  Philipson - </w:t>
      </w:r>
      <w:r w:rsidRPr="005171FD">
        <w:t>Irving B. Harris Graduate School of Public Policy Studies Univ of Chicago</w:t>
      </w:r>
      <w:r>
        <w:t>) “</w:t>
      </w:r>
      <w:r w:rsidRPr="005171FD">
        <w:t>The Benefits From Giving Makers Of Conventional `Small Molecule' Drugs Longer Exclusivity Over Clinical Trial Data</w:t>
      </w:r>
      <w:r>
        <w:t xml:space="preserve">” (accessed 29 Mar 2025) </w:t>
      </w:r>
      <w:r w:rsidRPr="005171FD">
        <w:t>https://pmc.ncbi.nlm.nih.gov/articles/PMC3804334/</w:t>
      </w:r>
    </w:p>
    <w:p w14:paraId="01130C15" w14:textId="1CCB269B" w:rsidR="00B50993" w:rsidRPr="00B50993" w:rsidRDefault="00B50993" w:rsidP="00B50993">
      <w:pPr>
        <w:pStyle w:val="Evidence"/>
      </w:pPr>
      <w:r w:rsidRPr="00B50993">
        <w:rPr>
          <w:u w:val="single"/>
        </w:rPr>
        <w:t>Unfortunately, there has been no quantitative analysis of the effects of a longer data exclusivity period on innovation, longevity, and societal welfare. To our knowledge, this is the first study to provide such estimates. Our analysis suggests that Americans would benefit in the long term from a longer period of data exclusivity. This finding is robust with respect to plausible assumptions about the effect of revenues on innovation and other factors</w:t>
      </w:r>
      <w:r w:rsidRPr="00B50993">
        <w:t>. Nevertheless, there is uncertainty regarding potential changes in regulations, science, and medicine that were not incorporated into our model.</w:t>
      </w:r>
      <w:r>
        <w:t xml:space="preserve"> </w:t>
      </w:r>
      <w:r w:rsidRPr="00B50993">
        <w:rPr>
          <w:u w:val="single"/>
        </w:rPr>
        <w:t>The idea of extending data exclusivity for conventional drugs has not garnered much political support. It appears that elected officials are unlikely to embrace legislation that would result in higher drug prices. Our research suggests such legislation would spur innovation that would benefit future generations</w:t>
      </w:r>
      <w:r w:rsidRPr="00B50993">
        <w:t>.</w:t>
      </w:r>
    </w:p>
    <w:p w14:paraId="5D66B3BA" w14:textId="77777777" w:rsidR="00B50993" w:rsidRPr="005171FD" w:rsidRDefault="00B50993" w:rsidP="005171FD">
      <w:pPr>
        <w:pStyle w:val="Evidence"/>
      </w:pPr>
    </w:p>
    <w:p w14:paraId="2EB70BBC" w14:textId="77777777" w:rsidR="002B0F97" w:rsidRDefault="002B0F97" w:rsidP="002B0F97">
      <w:pPr>
        <w:pStyle w:val="Contention2"/>
      </w:pPr>
      <w:bookmarkStart w:id="35" w:name="_Toc180243058"/>
      <w:bookmarkStart w:id="36" w:name="_Toc194339826"/>
      <w:r>
        <w:t>Impact:  “Not” developing new drugs costs lives and sickness</w:t>
      </w:r>
      <w:bookmarkEnd w:id="35"/>
      <w:bookmarkEnd w:id="36"/>
    </w:p>
    <w:p w14:paraId="3F49E7C4" w14:textId="77777777" w:rsidR="002B0F97" w:rsidRDefault="002B0F97" w:rsidP="002B0F97">
      <w:pPr>
        <w:pStyle w:val="Citation3"/>
      </w:pPr>
      <w:proofErr w:type="spellStart"/>
      <w:r w:rsidRPr="00A16196">
        <w:rPr>
          <w:u w:val="single"/>
        </w:rPr>
        <w:t>Trelysa</w:t>
      </w:r>
      <w:proofErr w:type="spellEnd"/>
      <w:r w:rsidRPr="00A16196">
        <w:rPr>
          <w:u w:val="single"/>
        </w:rPr>
        <w:t xml:space="preserve"> Long and Stephen Ezell 2023</w:t>
      </w:r>
      <w:r>
        <w:t xml:space="preserve"> (Long - </w:t>
      </w:r>
      <w:r w:rsidRPr="00C8607D">
        <w:t>policy analyst for antitrust policy with I</w:t>
      </w:r>
      <w:r>
        <w:t xml:space="preserve">nformation </w:t>
      </w:r>
      <w:proofErr w:type="spellStart"/>
      <w:r w:rsidRPr="00C8607D">
        <w:t>T</w:t>
      </w:r>
      <w:r>
        <w:t>echnolgoy</w:t>
      </w:r>
      <w:proofErr w:type="spellEnd"/>
      <w:r>
        <w:t xml:space="preserve"> &amp; </w:t>
      </w:r>
      <w:r w:rsidRPr="00C8607D">
        <w:t>I</w:t>
      </w:r>
      <w:r>
        <w:t xml:space="preserve">nnovation </w:t>
      </w:r>
      <w:r w:rsidRPr="00C8607D">
        <w:t>F</w:t>
      </w:r>
      <w:r>
        <w:t>oundation</w:t>
      </w:r>
      <w:r w:rsidRPr="00C8607D">
        <w:t>’s Schumpeter Project on Competition Policy. She was previously an economic policy intern with the U.S. Chamber of Commerce</w:t>
      </w:r>
      <w:r>
        <w:t xml:space="preserve">.  Ezell - </w:t>
      </w:r>
      <w:r w:rsidRPr="00DC3CE4">
        <w:t>vice president for global innovation policy at the Information Technology and Innovation Foundation</w:t>
      </w:r>
      <w:r>
        <w:t>) 17 July 2023 “</w:t>
      </w:r>
      <w:r w:rsidRPr="00C8607D">
        <w:t>The Hidden Toll of Drug Price Controls: Fewer New Treatments and Higher Medical Costs for the World</w:t>
      </w:r>
      <w:r>
        <w:t>” (</w:t>
      </w:r>
      <w:r w:rsidRPr="00C831BC">
        <w:t xml:space="preserve">accessed 19 Oct 2024) </w:t>
      </w:r>
      <w:hyperlink r:id="rId15" w:history="1">
        <w:r w:rsidRPr="00C831BC">
          <w:t>https://itif.org/publications/2023/07/17/hidden-toll-of-drug-price-controls-fewer-new-treatments-higher-medical-costs-for-world/</w:t>
        </w:r>
      </w:hyperlink>
      <w:r w:rsidRPr="00C831BC">
        <w:t xml:space="preserve"> (ellipses and brackets in original)</w:t>
      </w:r>
    </w:p>
    <w:p w14:paraId="114D1416" w14:textId="77777777" w:rsidR="002B0F97" w:rsidRDefault="002B0F97" w:rsidP="002B0F97">
      <w:pPr>
        <w:pStyle w:val="Evidence"/>
      </w:pPr>
      <w:r w:rsidRPr="00D76C63">
        <w:t>New drugs reduce mortality and increase life expectancy. Cutler et al. found that pharmaceuticals accounted for 35 percent of the 3.3-year increase in life expectancy Americans experienced from 1990 to 2015 (from 75.4 to 78.7 years of age).82 According to Lichtenberg, the source of a 6.9-year increase in life expectancy between 1960 and 1997 for Americans was partially attributed to the discovery of new pharmaceuticals.83 He found that the approval of one new drug in the United States resulted in a 0.093-year, or just over a month, increase in life expectancy, totaling a “life-years gained per year from a permanent unit increase in new drug approvals … [to] about 372 thousand.”</w:t>
      </w:r>
    </w:p>
    <w:p w14:paraId="4EADD785" w14:textId="006966B7" w:rsidR="002B0F97" w:rsidRDefault="00DD47C3" w:rsidP="00DD47C3">
      <w:pPr>
        <w:pStyle w:val="Contention2"/>
      </w:pPr>
      <w:bookmarkStart w:id="37" w:name="_Toc194339827"/>
      <w:r>
        <w:t>A/T “But these are just tiny little countries that don’t affect anything” – Then stop wasting time debating them and come up with a topical substantial reform</w:t>
      </w:r>
      <w:bookmarkEnd w:id="37"/>
    </w:p>
    <w:p w14:paraId="447FE89A" w14:textId="45ADA903" w:rsidR="00DD47C3" w:rsidRDefault="00DD47C3" w:rsidP="00DD47C3">
      <w:pPr>
        <w:pStyle w:val="Evidence"/>
      </w:pPr>
      <w:r>
        <w:t xml:space="preserve">If AFF wants to beat this </w:t>
      </w:r>
      <w:proofErr w:type="spellStart"/>
      <w:r>
        <w:t>disad</w:t>
      </w:r>
      <w:proofErr w:type="spellEnd"/>
      <w:r>
        <w:t xml:space="preserve"> by arguing that the resolution countries are so tiny and insignificant that they will have no impact on anything, then they shoot themselves in the foot.  A plan that is so tiny and insignificant that no one will notice is one we shouldn’t be debating, since it fails to meet the resolution’s requirement of being a substantial reform.  AFF needs to either accept this disadvantage or else concede a NEG ballot on Topicality.  But they can’t have the plan be tiny and insignificant when arguing the disadvantages and then suddenly have it be big and substantial when discussing Topicality.</w:t>
      </w:r>
    </w:p>
    <w:p w14:paraId="486C71A9" w14:textId="5FFCCFB5" w:rsidR="003C737D" w:rsidRDefault="00B57D04" w:rsidP="00B57D04">
      <w:pPr>
        <w:pStyle w:val="Contention1"/>
      </w:pPr>
      <w:bookmarkStart w:id="38" w:name="_Toc194339828"/>
      <w:r>
        <w:lastRenderedPageBreak/>
        <w:t>2.  Loss of “biologic” drugs</w:t>
      </w:r>
      <w:bookmarkEnd w:id="38"/>
    </w:p>
    <w:p w14:paraId="15E8A1E4" w14:textId="53B58359" w:rsidR="00B57D04" w:rsidRDefault="00B57D04" w:rsidP="00B57D04">
      <w:pPr>
        <w:pStyle w:val="Contention2"/>
      </w:pPr>
      <w:bookmarkStart w:id="39" w:name="_Toc194339829"/>
      <w:r>
        <w:t>Link:  “Biologics” are different from standard pharmaceuticals and require additional protections – and there’s no financial harm to data exclusivity on them</w:t>
      </w:r>
      <w:bookmarkEnd w:id="39"/>
    </w:p>
    <w:p w14:paraId="14DB488E" w14:textId="77777777" w:rsidR="00E2585B" w:rsidRDefault="00E2585B" w:rsidP="00E2585B">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r w:rsidRPr="00B57D04">
        <w:t>https://geneva-network.com/research/regulatory-data-protection-matters-medicines/</w:t>
      </w:r>
    </w:p>
    <w:p w14:paraId="6401F2C3" w14:textId="5DAEDDF1" w:rsidR="00B57D04" w:rsidRDefault="00B57D04" w:rsidP="00B57D04">
      <w:pPr>
        <w:pStyle w:val="Evidence"/>
      </w:pPr>
      <w:r>
        <w:rPr>
          <w:noProof/>
        </w:rPr>
        <w:drawing>
          <wp:inline distT="0" distB="0" distL="0" distR="0" wp14:anchorId="319D6D07" wp14:editId="529608C4">
            <wp:extent cx="3557925" cy="2748337"/>
            <wp:effectExtent l="0" t="0" r="4445" b="0"/>
            <wp:docPr id="151080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8580" cy="2748843"/>
                    </a:xfrm>
                    <a:prstGeom prst="rect">
                      <a:avLst/>
                    </a:prstGeom>
                    <a:noFill/>
                    <a:ln>
                      <a:noFill/>
                    </a:ln>
                  </pic:spPr>
                </pic:pic>
              </a:graphicData>
            </a:graphic>
          </wp:inline>
        </w:drawing>
      </w:r>
    </w:p>
    <w:p w14:paraId="53A8FC7C" w14:textId="40B0EE6F" w:rsidR="00B57D04" w:rsidRDefault="00B57D04" w:rsidP="00B57D04">
      <w:pPr>
        <w:pStyle w:val="Contention2"/>
      </w:pPr>
      <w:bookmarkStart w:id="40" w:name="_Toc194339830"/>
      <w:r>
        <w:t>Link:  WTO inadequate to protect</w:t>
      </w:r>
      <w:bookmarkEnd w:id="40"/>
      <w:r>
        <w:t xml:space="preserve"> </w:t>
      </w:r>
    </w:p>
    <w:p w14:paraId="2023B4C9" w14:textId="77777777" w:rsidR="00E2585B" w:rsidRDefault="00E2585B" w:rsidP="00E2585B">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r w:rsidRPr="00B57D04">
        <w:t>https://geneva-network.com/research/regulatory-data-protection-matters-medicines/</w:t>
      </w:r>
    </w:p>
    <w:p w14:paraId="1D817067" w14:textId="10E77AD1" w:rsidR="00B57D04" w:rsidRPr="00B57D04" w:rsidRDefault="00B57D04" w:rsidP="00B57D04">
      <w:pPr>
        <w:pStyle w:val="Evidence"/>
      </w:pPr>
      <w:r w:rsidRPr="00B57D04">
        <w:t>Article 39.3 of the TRIPS Agreement requires governments of WTO member states to protect test data submitted to regulatory authorities against unfair commercial use and disclosure, except when necessary to protect the public, or unless the data is otherwise protected against unfair commercial use. Since 1st January 2000, all WTO members, with the exception of those which are classified as least developed countries, have been required to have TRIPS-compliant protection for proprietary registration data.</w:t>
      </w:r>
      <w:r>
        <w:t xml:space="preserve"> </w:t>
      </w:r>
      <w:r w:rsidRPr="00B57D04">
        <w:t>Many, though, have failed to implement it.</w:t>
      </w:r>
    </w:p>
    <w:p w14:paraId="7B24F580" w14:textId="02D3625B" w:rsidR="00B57D04" w:rsidRDefault="00B57D04" w:rsidP="00B57D04">
      <w:pPr>
        <w:pStyle w:val="Contention2"/>
      </w:pPr>
      <w:bookmarkStart w:id="41" w:name="_Toc194339831"/>
      <w:r>
        <w:lastRenderedPageBreak/>
        <w:t>Link:  Biologics require extra protection due to their complexity</w:t>
      </w:r>
      <w:bookmarkEnd w:id="41"/>
    </w:p>
    <w:p w14:paraId="3E09FC60" w14:textId="77777777" w:rsidR="00E2585B" w:rsidRDefault="00E2585B" w:rsidP="00E2585B">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r w:rsidRPr="00B57D04">
        <w:t>https://geneva-network.com/research/regulatory-data-protection-matters-medicines/</w:t>
      </w:r>
    </w:p>
    <w:p w14:paraId="75FF00C1" w14:textId="0E67C16A" w:rsidR="00B57D04" w:rsidRPr="00B57D04" w:rsidRDefault="00B57D04" w:rsidP="00B57D04">
      <w:pPr>
        <w:pStyle w:val="Evidence"/>
      </w:pPr>
      <w:r w:rsidRPr="00B57D04">
        <w:t>Just as originators of small-molecule pharmaceuticals face follow-on competition from generics, biologic innovators must contend with competition from ‘biosimilars’.</w:t>
      </w:r>
      <w:r>
        <w:t xml:space="preserve"> </w:t>
      </w:r>
      <w:r w:rsidRPr="00B57D04">
        <w:t xml:space="preserve">But there is a marked difference.  Compared to ‘traditional’ chemically </w:t>
      </w:r>
      <w:proofErr w:type="spellStart"/>
      <w:r w:rsidRPr="00B57D04">
        <w:t>synthesised</w:t>
      </w:r>
      <w:proofErr w:type="spellEnd"/>
      <w:r w:rsidRPr="00B57D04">
        <w:t xml:space="preserve"> pharmaceuticals, biologics, as noted above, are far more structurally complex. As such, it is not currently possible for a competitor to precisely replicate the original biologic.  Rather, the competitor can only produce a biosimilar – a product that may be structurally similar to the original biologic it follows on from but likewise may only be similar, rather than identical, in terms of its effectiveness.</w:t>
      </w:r>
      <w:r>
        <w:br/>
      </w:r>
      <w:r w:rsidRPr="00E2585B">
        <w:rPr>
          <w:b/>
          <w:bCs w:val="0"/>
        </w:rPr>
        <w:t>END QUOTE.  THEY CONTINUE LATER QUOTE:</w:t>
      </w:r>
      <w:r w:rsidRPr="00E2585B">
        <w:rPr>
          <w:b/>
          <w:bCs w:val="0"/>
        </w:rPr>
        <w:br/>
      </w:r>
      <w:r>
        <w:t xml:space="preserve">According to Dr Kristina Lybecker, an associate professor at Colorado College whose research focuses on IP rights in the pharmaceutical space, regulatory data protection grants biologics innovators some much-needed additional security. “Patent protection and data exclusivity are complementary forms of IP protection that both serve to </w:t>
      </w:r>
      <w:proofErr w:type="spellStart"/>
      <w:r>
        <w:t>incentivise</w:t>
      </w:r>
      <w:proofErr w:type="spellEnd"/>
      <w:r>
        <w:t xml:space="preserve"> the tremendous investments required for the development of biologic medicines,” she says.</w:t>
      </w:r>
    </w:p>
    <w:p w14:paraId="3EDA4B33" w14:textId="0C25863C" w:rsidR="00B57D04" w:rsidRDefault="00E2585B" w:rsidP="00E2585B">
      <w:pPr>
        <w:pStyle w:val="Contention2"/>
      </w:pPr>
      <w:bookmarkStart w:id="42" w:name="_Toc194339832"/>
      <w:r>
        <w:t>Link:  Without data protection, investment in biologic medicines won’t happen</w:t>
      </w:r>
      <w:bookmarkEnd w:id="42"/>
    </w:p>
    <w:p w14:paraId="0F2EA25C" w14:textId="7828EF17" w:rsidR="00E2585B" w:rsidRDefault="00E2585B" w:rsidP="00E2585B">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hyperlink r:id="rId17" w:history="1">
        <w:r w:rsidRPr="00650852">
          <w:rPr>
            <w:rStyle w:val="Hyperlink"/>
          </w:rPr>
          <w:t>https://geneva-network.com/research/regulatory-data-protection-matters-medicines/</w:t>
        </w:r>
      </w:hyperlink>
      <w:r>
        <w:t xml:space="preserve"> (brackets added)</w:t>
      </w:r>
    </w:p>
    <w:p w14:paraId="0C719740" w14:textId="55694568" w:rsidR="00E2585B" w:rsidRPr="00E2585B" w:rsidRDefault="00E2585B" w:rsidP="00E2585B">
      <w:pPr>
        <w:pStyle w:val="Evidence"/>
      </w:pPr>
      <w:r w:rsidRPr="00E2585B">
        <w:t>Venture capital investment is absolutely critical to the biotechnology industry; US VC firms pumped a record $8.95 billion into biotech start-ups during 2015.  That’s around 50% more than the previous year.  Nonetheless, these figures give an indication of the scale of venture capital’s contribution. Without the promise of returns, VCs would have little reason to invest in such a high-cost, high-risk sector – and billions of dollars in funding for cutting-edge medicines would be lost.</w:t>
      </w:r>
      <w:r>
        <w:t xml:space="preserve"> </w:t>
      </w:r>
      <w:r w:rsidRPr="00E2585B">
        <w:t xml:space="preserve">Based on his experience investing in and managing biotechnology companies, </w:t>
      </w:r>
      <w:r>
        <w:t xml:space="preserve">[venture capital investor Jack] </w:t>
      </w:r>
      <w:proofErr w:type="spellStart"/>
      <w:r w:rsidRPr="00E2585B">
        <w:t>Lasersohn</w:t>
      </w:r>
      <w:proofErr w:type="spellEnd"/>
      <w:r w:rsidRPr="00E2585B">
        <w:t xml:space="preserve"> thinks that regulatory data protection is vital if there is to be continued, sustained investment.  “The patent laws give you that protection up to a point, but not completely,” he says. “Put simply, the main reason is that it is more difficult to protect a biologic from a biosimilar than it is to protect a small molecule from a generic that is chemically identical. The patent laws simply do not afford the same level of protection if you are going to allow similar drugs to be approved using the same data.”</w:t>
      </w:r>
    </w:p>
    <w:p w14:paraId="61CDFBA9" w14:textId="0DEFE555" w:rsidR="00E2585B" w:rsidRDefault="00E2585B" w:rsidP="00E2585B">
      <w:pPr>
        <w:pStyle w:val="Contention2"/>
      </w:pPr>
      <w:bookmarkStart w:id="43" w:name="_Toc194339833"/>
      <w:r>
        <w:t>Impact:  Negative net benefits.  May look good in short term, but long term we lose development of new drugs</w:t>
      </w:r>
      <w:bookmarkEnd w:id="43"/>
    </w:p>
    <w:p w14:paraId="550E7A36" w14:textId="02F99023" w:rsidR="00E2585B" w:rsidRDefault="00E2585B" w:rsidP="00E2585B">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hyperlink r:id="rId18" w:history="1">
        <w:r w:rsidRPr="00650852">
          <w:rPr>
            <w:rStyle w:val="Hyperlink"/>
          </w:rPr>
          <w:t>https://geneva-network.com/research/regulatory-data-protection-matters-medicines/</w:t>
        </w:r>
      </w:hyperlink>
      <w:r>
        <w:t xml:space="preserve"> (brackets added)</w:t>
      </w:r>
    </w:p>
    <w:p w14:paraId="025CE27D" w14:textId="4901B258" w:rsidR="00E2585B" w:rsidRDefault="00E2585B" w:rsidP="00E2585B">
      <w:pPr>
        <w:pStyle w:val="Evidence"/>
      </w:pPr>
      <w:r w:rsidRPr="00E2585B">
        <w:t xml:space="preserve">Refraining from granting an innovator an RDP </w:t>
      </w:r>
      <w:r>
        <w:t xml:space="preserve">[regulatory data protection] </w:t>
      </w:r>
      <w:r w:rsidRPr="00E2585B">
        <w:t xml:space="preserve">period may lead to much cheaper versions of the same drug arriving on the market more quickly. But this would only be a short-term benefit – and would be shortsighted too, </w:t>
      </w:r>
      <w:r>
        <w:t xml:space="preserve">[venture capital investor Jack] </w:t>
      </w:r>
      <w:proofErr w:type="spellStart"/>
      <w:r w:rsidRPr="00E2585B">
        <w:t>Lasersohn</w:t>
      </w:r>
      <w:proofErr w:type="spellEnd"/>
      <w:r w:rsidRPr="00E2585B">
        <w:t xml:space="preserve"> suggests.  “Data exclusivity may raise the cost of a particular drug,” he says. “But I think ‘supports the price’ is the better way to put it. It doesn’t raise prices above a natural level, but rather supports the price that the market should pay for the investment of time and money that has gone into the development of the drug.”</w:t>
      </w:r>
    </w:p>
    <w:p w14:paraId="301E18E1" w14:textId="5E9A6068" w:rsidR="00E2585B" w:rsidRDefault="00E2585B" w:rsidP="00E2585B">
      <w:pPr>
        <w:pStyle w:val="Contention2"/>
      </w:pPr>
      <w:bookmarkStart w:id="44" w:name="_Toc194339834"/>
      <w:r>
        <w:lastRenderedPageBreak/>
        <w:t xml:space="preserve">Impact:  Higher costs.  Public health cost savings from availability of biologics outweighs the </w:t>
      </w:r>
      <w:r w:rsidR="004927F7">
        <w:t>cost of the drugs during the time they are exclusive</w:t>
      </w:r>
      <w:bookmarkEnd w:id="44"/>
    </w:p>
    <w:p w14:paraId="71F75A0E" w14:textId="46D677A5" w:rsidR="004927F7" w:rsidRDefault="004927F7" w:rsidP="004927F7">
      <w:pPr>
        <w:pStyle w:val="Citation3"/>
      </w:pPr>
      <w:r>
        <w:rPr>
          <w:u w:val="single"/>
        </w:rPr>
        <w:t>Jack Ellis</w:t>
      </w:r>
      <w:r w:rsidRPr="00B57D04">
        <w:rPr>
          <w:u w:val="single"/>
        </w:rPr>
        <w:t xml:space="preserve"> 2017</w:t>
      </w:r>
      <w:r>
        <w:t xml:space="preserve"> (</w:t>
      </w:r>
      <w:r w:rsidRPr="00E2585B">
        <w:t xml:space="preserve">journalist and editor who has written extensively on technology, investment, and innovation-related issues and a </w:t>
      </w:r>
      <w:r>
        <w:t>c</w:t>
      </w:r>
      <w:r w:rsidRPr="00E2585B">
        <w:t>ontributor at Geneva Network</w:t>
      </w:r>
      <w:r>
        <w:t xml:space="preserve">, a </w:t>
      </w:r>
      <w:r w:rsidRPr="00B57D04">
        <w:t xml:space="preserve">research and advocacy </w:t>
      </w:r>
      <w:proofErr w:type="spellStart"/>
      <w:r w:rsidRPr="00B57D04">
        <w:t>organisation</w:t>
      </w:r>
      <w:proofErr w:type="spellEnd"/>
      <w:r w:rsidRPr="00B57D04">
        <w:t xml:space="preserve"> focusing on international innovation, trade and development policy</w:t>
      </w:r>
      <w:r>
        <w:t xml:space="preserve">, </w:t>
      </w:r>
      <w:r w:rsidRPr="00B57D04">
        <w:t xml:space="preserve">funded by a range of foundations and public and private sector </w:t>
      </w:r>
      <w:proofErr w:type="spellStart"/>
      <w:r w:rsidRPr="00B57D04">
        <w:t>organisations</w:t>
      </w:r>
      <w:proofErr w:type="spellEnd"/>
      <w:r>
        <w:t xml:space="preserve">) 11 July 2017 “Why regulatory data protection matters for Medicines” (accessed 31 March 2025) </w:t>
      </w:r>
      <w:hyperlink r:id="rId19" w:history="1">
        <w:r w:rsidRPr="00650852">
          <w:rPr>
            <w:rStyle w:val="Hyperlink"/>
          </w:rPr>
          <w:t>https://geneva-network.com/research/regulatory-data-protection-matters-medicines/</w:t>
        </w:r>
      </w:hyperlink>
    </w:p>
    <w:p w14:paraId="6B2BA006" w14:textId="77777777" w:rsidR="00E2585B" w:rsidRPr="00E2585B" w:rsidRDefault="00E2585B" w:rsidP="00E2585B">
      <w:pPr>
        <w:pStyle w:val="Evidence"/>
      </w:pPr>
      <w:r w:rsidRPr="00E2585B">
        <w:t xml:space="preserve">While RDP may extend the period of time in which biologic drugs do not face biosimilar competition, several additional elements must be weighed against this effect, she adds. “First, data exclusivity </w:t>
      </w:r>
      <w:proofErr w:type="spellStart"/>
      <w:r w:rsidRPr="00E2585B">
        <w:t>incentivises</w:t>
      </w:r>
      <w:proofErr w:type="spellEnd"/>
      <w:r w:rsidRPr="00E2585B">
        <w:t xml:space="preserve"> innovation which results in the development of biologic treatments and cures that might not otherwise come into existence. Second, these medicines provide significant benefits to patients, both improving and extending their lives. This results in healthier individuals and cost savings to healthcare systems.”</w:t>
      </w:r>
    </w:p>
    <w:p w14:paraId="3AD608CC" w14:textId="77777777" w:rsidR="003C737D" w:rsidRDefault="003C737D" w:rsidP="003C737D">
      <w:pPr>
        <w:pStyle w:val="Contention1"/>
      </w:pPr>
      <w:bookmarkStart w:id="45" w:name="_Toc180243059"/>
      <w:bookmarkStart w:id="46" w:name="_Toc194339835"/>
      <w:r>
        <w:t>SOURCE INDICTMENT</w:t>
      </w:r>
      <w:bookmarkEnd w:id="45"/>
      <w:bookmarkEnd w:id="46"/>
    </w:p>
    <w:p w14:paraId="401C6076" w14:textId="77777777" w:rsidR="003C737D" w:rsidRDefault="003C737D" w:rsidP="003C737D">
      <w:pPr>
        <w:pStyle w:val="Contention2"/>
      </w:pPr>
      <w:bookmarkStart w:id="47" w:name="_Toc180243060"/>
      <w:bookmarkStart w:id="48" w:name="_Toc194339836"/>
      <w:r w:rsidRPr="002D2482">
        <w:t>Initiative for Medicines, Access &amp; Knowledge (I-MAK)</w:t>
      </w:r>
      <w:r>
        <w:t xml:space="preserve"> – uses wrong numbers for “evidence making” to support their position</w:t>
      </w:r>
      <w:bookmarkEnd w:id="47"/>
      <w:bookmarkEnd w:id="48"/>
    </w:p>
    <w:p w14:paraId="1BAD6D5B" w14:textId="77777777" w:rsidR="003C737D" w:rsidRDefault="003C737D" w:rsidP="003C737D">
      <w:pPr>
        <w:pStyle w:val="Citation3"/>
      </w:pPr>
      <w:r w:rsidRPr="002D2482">
        <w:rPr>
          <w:u w:val="single"/>
        </w:rPr>
        <w:t xml:space="preserve">Fatih Mercan, </w:t>
      </w:r>
      <w:r>
        <w:rPr>
          <w:u w:val="single"/>
        </w:rPr>
        <w:t>Dr. .</w:t>
      </w:r>
      <w:r w:rsidRPr="002D2482">
        <w:rPr>
          <w:u w:val="single"/>
        </w:rPr>
        <w:t>Yogeeta B. Jadhav, Michael L. Jespersen 2023</w:t>
      </w:r>
      <w:r>
        <w:t xml:space="preserve">. (Mercan – attorney. Jadhav – PhD in chemistry.  Jespersen - attorney) 30 </w:t>
      </w:r>
      <w:r w:rsidRPr="002D2482">
        <w:t xml:space="preserve">Jan 2023 “USPTO-FDA Listening Session — Voices from Patient and Patent Advocates” (accessed 19 Oct 2024)  </w:t>
      </w:r>
      <w:hyperlink r:id="rId20" w:history="1">
        <w:r w:rsidRPr="002D2482">
          <w:t>https://www.foley.com/insights/publications/2023/01/uspto-fda-listening-voices-patient-patent/</w:t>
        </w:r>
      </w:hyperlink>
      <w:r w:rsidRPr="002D2482">
        <w:t xml:space="preserve"> (“Orange Book” is the “FDA's Approved Drug Products with Therapeutic Equivalence Evaluations”)</w:t>
      </w:r>
    </w:p>
    <w:p w14:paraId="6748F168" w14:textId="77777777" w:rsidR="003C737D" w:rsidRDefault="003C737D" w:rsidP="003C737D">
      <w:pPr>
        <w:pStyle w:val="Evidence"/>
      </w:pPr>
      <w:r w:rsidRPr="002D2482">
        <w:t xml:space="preserve">Prof. Adam </w:t>
      </w:r>
      <w:proofErr w:type="spellStart"/>
      <w:r w:rsidRPr="002D2482">
        <w:t>Mossoff</w:t>
      </w:r>
      <w:proofErr w:type="spellEnd"/>
      <w:r w:rsidRPr="002D2482">
        <w:t xml:space="preserve"> of George Mason University Antonin Scalia Law School questioned the validity of certain data underlying current pharmaceutical patent policy debates. In particular, Prof. </w:t>
      </w:r>
      <w:proofErr w:type="spellStart"/>
      <w:r w:rsidRPr="002D2482">
        <w:t>Mossoff</w:t>
      </w:r>
      <w:proofErr w:type="spellEnd"/>
      <w:r w:rsidRPr="002D2482">
        <w:t xml:space="preserve"> highlighted discrepancies between patent-per-drug numbers reported by Initiative for Medicines, Access &amp; Knowledge (I-MAK), and the number of patents listed in the Orange Book or asserted in patent litigation for a given drug. For example, he notes that I-MAK asserted that 68 patents cover the drug Lyrica, while only three patents are listed in the Orange Book. Prof. </w:t>
      </w:r>
      <w:proofErr w:type="spellStart"/>
      <w:r w:rsidRPr="002D2482">
        <w:t>Mossoff</w:t>
      </w:r>
      <w:proofErr w:type="spellEnd"/>
      <w:r w:rsidRPr="002D2482">
        <w:t xml:space="preserve"> supported data-driven policy decisions, but emphasized that all underlying data should be reliable in both form and substance in order to ensure “evidence-based policymaking, and not policy-based evidence-making.”</w:t>
      </w:r>
    </w:p>
    <w:p w14:paraId="74620935" w14:textId="77777777" w:rsidR="003C737D" w:rsidRDefault="003C737D" w:rsidP="003C737D">
      <w:pPr>
        <w:pStyle w:val="Contention2"/>
      </w:pPr>
      <w:bookmarkStart w:id="49" w:name="_Toc180243061"/>
      <w:bookmarkStart w:id="50" w:name="_Toc194339837"/>
      <w:r>
        <w:t>Initiative for Medicines, Access, and Knowledge (I-MAK) and anyone quoting them (like the New York Times and the Joint US Patent and Trademark Office/FDA Public Listening Session)</w:t>
      </w:r>
      <w:bookmarkEnd w:id="49"/>
      <w:bookmarkEnd w:id="50"/>
    </w:p>
    <w:p w14:paraId="70081BB4" w14:textId="77777777" w:rsidR="003C737D" w:rsidRDefault="003C737D" w:rsidP="003C737D">
      <w:pPr>
        <w:pStyle w:val="Citation3"/>
      </w:pPr>
      <w:r w:rsidRPr="005843A5">
        <w:rPr>
          <w:u w:val="single"/>
        </w:rPr>
        <w:t xml:space="preserve">Prof. Adam </w:t>
      </w:r>
      <w:proofErr w:type="spellStart"/>
      <w:r w:rsidRPr="005843A5">
        <w:rPr>
          <w:u w:val="single"/>
        </w:rPr>
        <w:t>Mossoff</w:t>
      </w:r>
      <w:proofErr w:type="spellEnd"/>
      <w:r w:rsidRPr="005843A5">
        <w:rPr>
          <w:u w:val="single"/>
        </w:rPr>
        <w:t xml:space="preserve"> 2023</w:t>
      </w:r>
      <w:r>
        <w:t xml:space="preserve"> (professor of law, George Mason Univ., Antonin Scalia Law School) 10 Mar 2023 “Re: Request for Comments on Joint USPTO–FDA Collaboration Initiatives 87 CFR 67019” (accessed 19 Oct 2024) </w:t>
      </w:r>
      <w:r w:rsidRPr="005843A5">
        <w:t>https://www.regulations.gov/comment/PTO-P-2022-0037-0078</w:t>
      </w:r>
    </w:p>
    <w:p w14:paraId="021BC680" w14:textId="77777777" w:rsidR="003C737D" w:rsidRDefault="003C737D" w:rsidP="003C737D">
      <w:pPr>
        <w:pStyle w:val="Evidence"/>
      </w:pPr>
      <w:r>
        <w:t xml:space="preserve">The U.S. policy debates about drug patents are similarly dominated by the rhetoric of “patent thickets” and “evergreening,” which is based in unverified and unreliable drug patent numbers pushed by organizations like the Initiative for Medicines, Access, and Knowledge (I-MAK). The serious questions about the unreliability and inaccuracy of I-MAK’s drug patent numbers presented in its colorful, eye-catching pamphlets, such as </w:t>
      </w:r>
      <w:proofErr w:type="spellStart"/>
      <w:r>
        <w:t>Overpatented</w:t>
      </w:r>
      <w:proofErr w:type="spellEnd"/>
      <w:r>
        <w:t>, Overpriced (2018) and America’s Bestselling Drugs of 2019, are important. I-MAK has been a principal, go-to source for drug patent numbers by law professors and researchers advancing the “patent thicket” or related “evergreening” criticism of patenting practices by drug innovators. Its drug patent numbers are cited by U.S. government officials. Its drug patent numbers are recited in congressional hearings and before agencies, as evidenced by the comments of numerous panelists at the Joint USPTOFDA Public Listening Session on Collaboration Initiatives on January 19, 2023. A week later, the New York Times reported as simple fact I-MAK’s hyperinflated drug patent numbers in a news article pushing the patent thicket and evergreening policy narrative about the much-maligned drug, Humira.  The “evergreening” critique of Humira is based in I-MAK’s drug patent numbers, and, just like the “Patents Kill” campaign, it represents heated policy rhetoric as opposed to cool evidence-based reason: generic competition for Humira began this year after a total period of exclusivity of approximately 20 years (a normal patent term).   Moreover, after extensive litigation, a federal court firmly concluded there was no evidence of harm caused by the Humira patents.</w:t>
      </w:r>
    </w:p>
    <w:p w14:paraId="7E9AC495" w14:textId="77777777" w:rsidR="003C737D" w:rsidRDefault="003C737D" w:rsidP="003C737D">
      <w:pPr>
        <w:pStyle w:val="Contention2"/>
      </w:pPr>
      <w:bookmarkStart w:id="51" w:name="_Toc180243062"/>
      <w:bookmarkStart w:id="52" w:name="_Toc194339838"/>
      <w:r>
        <w:lastRenderedPageBreak/>
        <w:t>Burden of proof for patent policy change: AFF must prove IMAK (or anyone’s) numbers are accurate</w:t>
      </w:r>
      <w:bookmarkEnd w:id="51"/>
      <w:bookmarkEnd w:id="52"/>
    </w:p>
    <w:p w14:paraId="12748F28" w14:textId="77777777" w:rsidR="003C737D" w:rsidRDefault="003C737D" w:rsidP="003C737D">
      <w:pPr>
        <w:pStyle w:val="Citation3"/>
      </w:pPr>
      <w:r w:rsidRPr="005843A5">
        <w:rPr>
          <w:u w:val="single"/>
        </w:rPr>
        <w:t xml:space="preserve">Prof. Adam </w:t>
      </w:r>
      <w:proofErr w:type="spellStart"/>
      <w:r w:rsidRPr="005843A5">
        <w:rPr>
          <w:u w:val="single"/>
        </w:rPr>
        <w:t>Mossoff</w:t>
      </w:r>
      <w:proofErr w:type="spellEnd"/>
      <w:r w:rsidRPr="005843A5">
        <w:rPr>
          <w:u w:val="single"/>
        </w:rPr>
        <w:t xml:space="preserve"> 2023</w:t>
      </w:r>
      <w:r>
        <w:t xml:space="preserve"> (professor of law, George Mason Univ., Antonin Scalia Law School) 10 Mar 2023 “Re: Request for Comments on Joint USPTO–FDA Collaboration Initiatives 87 CFR 67019” (accessed 19 Oct 2024) </w:t>
      </w:r>
      <w:r w:rsidRPr="005843A5">
        <w:t>https://www.regulations.gov/comment/PTO-P-2022-0037-0078</w:t>
      </w:r>
    </w:p>
    <w:p w14:paraId="1CA4A1DD" w14:textId="77777777" w:rsidR="003C737D" w:rsidRDefault="003C737D" w:rsidP="003C737D">
      <w:pPr>
        <w:pStyle w:val="Evidence"/>
      </w:pPr>
      <w:r>
        <w:t>The burden is on anyone proposing additional regulatory barriers, additional costs, and additional legal uncertainties to provide reliable and robust data that this is evidence-based policymaking. As explained in the next section, the I-MAK drug patent numbers that have primarily driven the “patent thickets” or “evergreening” complaints do not meet this burden.</w:t>
      </w:r>
    </w:p>
    <w:p w14:paraId="72E254D4" w14:textId="77777777" w:rsidR="003C737D" w:rsidRDefault="003C737D" w:rsidP="003C737D">
      <w:pPr>
        <w:pStyle w:val="Contention2"/>
      </w:pPr>
      <w:bookmarkStart w:id="53" w:name="_Toc180243063"/>
      <w:bookmarkStart w:id="54" w:name="_Toc194339839"/>
      <w:r>
        <w:t>IMAK’s statistics on patents are massively wrong. And they hide their methodology</w:t>
      </w:r>
      <w:bookmarkEnd w:id="53"/>
      <w:bookmarkEnd w:id="54"/>
    </w:p>
    <w:p w14:paraId="6FDD3609" w14:textId="77777777" w:rsidR="003C737D" w:rsidRDefault="003C737D" w:rsidP="003C737D">
      <w:pPr>
        <w:pStyle w:val="Citation3"/>
      </w:pPr>
      <w:r w:rsidRPr="005843A5">
        <w:rPr>
          <w:u w:val="single"/>
        </w:rPr>
        <w:t xml:space="preserve">Prof. Adam </w:t>
      </w:r>
      <w:proofErr w:type="spellStart"/>
      <w:r w:rsidRPr="005843A5">
        <w:rPr>
          <w:u w:val="single"/>
        </w:rPr>
        <w:t>Mossoff</w:t>
      </w:r>
      <w:proofErr w:type="spellEnd"/>
      <w:r w:rsidRPr="005843A5">
        <w:rPr>
          <w:u w:val="single"/>
        </w:rPr>
        <w:t xml:space="preserve"> 2023</w:t>
      </w:r>
      <w:r>
        <w:t xml:space="preserve"> (professor of law, George Mason Univ., Antonin Scalia Law School) 10 Mar 2023 “Re: Request for Comments on Joint USPTO–FDA Collaboration Initiatives 87 CFR 67019” (accessed 19 Oct 2024) </w:t>
      </w:r>
      <w:r w:rsidRPr="005843A5">
        <w:t>https://www.regulations.gov/comment/PTO-P-2022-0037-0078</w:t>
      </w:r>
    </w:p>
    <w:p w14:paraId="146EDC33" w14:textId="77777777" w:rsidR="003C737D" w:rsidRPr="002D2482" w:rsidRDefault="003C737D" w:rsidP="003C737D">
      <w:pPr>
        <w:pStyle w:val="Evidence"/>
      </w:pPr>
      <w:r>
        <w:t xml:space="preserve">They bear the evidentiary burden of establishing that there is a systemic problem requiring systemic changes in regulations and policy, even when such regulatory changes are seemingly anodyne-sounding proposals for more collaboration and information sharing between agencies. </w:t>
      </w:r>
      <w:r w:rsidRPr="00293C5F">
        <w:rPr>
          <w:u w:val="single"/>
        </w:rPr>
        <w:t>This comment then details how I-MAK fails this burden: its drug patent numbers are unverified and unreliable, as confirmed by substantial discrepancies between I-MAK’s drug patent numbers and the drug patents listed in official, publicly accessible databases, such as the Orange Book of the Food and Drug Administration (FDA). These are not minimal differences resulting from calculation mistakes or margins of error. I-MAK’s drug patent numbers differ by orders of magnitude from the total patents covering the same drug listed in the Orange Book. Despite a formal request from Senator Thom Tillis to disclose its data and methodology in its 2018 and 2019 reports, I-MAK refused to provide its underlying data or explain its methodology.</w:t>
      </w:r>
      <w:r>
        <w:t xml:space="preserve"> </w:t>
      </w:r>
    </w:p>
    <w:p w14:paraId="36A0331F" w14:textId="77777777" w:rsidR="003C737D" w:rsidRPr="00FE5B7F" w:rsidRDefault="003C737D" w:rsidP="00DD47C3">
      <w:pPr>
        <w:pStyle w:val="Evidence"/>
      </w:pPr>
    </w:p>
    <w:sectPr w:rsidR="003C737D" w:rsidRPr="00FE5B7F" w:rsidSect="00F04C23">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3658" w14:textId="77777777" w:rsidR="006F0377" w:rsidRDefault="006F0377" w:rsidP="001D5FD6">
      <w:pPr>
        <w:spacing w:after="0" w:line="240" w:lineRule="auto"/>
      </w:pPr>
      <w:r>
        <w:separator/>
      </w:r>
    </w:p>
    <w:p w14:paraId="7AF0C241" w14:textId="77777777" w:rsidR="006F0377" w:rsidRDefault="006F0377"/>
    <w:p w14:paraId="01593439" w14:textId="77777777" w:rsidR="006F0377" w:rsidRDefault="006F0377"/>
  </w:endnote>
  <w:endnote w:type="continuationSeparator" w:id="0">
    <w:p w14:paraId="4FD4B217" w14:textId="77777777" w:rsidR="006F0377" w:rsidRDefault="006F0377" w:rsidP="001D5FD6">
      <w:pPr>
        <w:spacing w:after="0" w:line="240" w:lineRule="auto"/>
      </w:pPr>
      <w:r>
        <w:continuationSeparator/>
      </w:r>
    </w:p>
    <w:p w14:paraId="2DC1064E" w14:textId="77777777" w:rsidR="006F0377" w:rsidRDefault="006F0377"/>
    <w:p w14:paraId="611BB207" w14:textId="77777777" w:rsidR="006F0377" w:rsidRDefault="006F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0449A053" w:rsidR="00CD241A" w:rsidRDefault="00CD241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F114A4">
      <w:rPr>
        <w:sz w:val="18"/>
        <w:szCs w:val="18"/>
      </w:rPr>
      <w:t>5</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4347D">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4347D">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CD241A" w:rsidRDefault="00CD241A"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CD241A" w:rsidRPr="00303BC4" w:rsidRDefault="00CD241A"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CD241A" w:rsidRPr="00303BC4" w:rsidRDefault="00CD241A"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6145" w14:textId="77777777" w:rsidR="006F0377" w:rsidRDefault="006F0377" w:rsidP="001D5FD6">
      <w:pPr>
        <w:spacing w:after="0" w:line="240" w:lineRule="auto"/>
      </w:pPr>
      <w:r>
        <w:separator/>
      </w:r>
    </w:p>
    <w:p w14:paraId="0EB34705" w14:textId="77777777" w:rsidR="006F0377" w:rsidRDefault="006F0377"/>
    <w:p w14:paraId="0EB85214" w14:textId="77777777" w:rsidR="006F0377" w:rsidRDefault="006F0377"/>
  </w:footnote>
  <w:footnote w:type="continuationSeparator" w:id="0">
    <w:p w14:paraId="140D07E6" w14:textId="77777777" w:rsidR="006F0377" w:rsidRDefault="006F0377" w:rsidP="001D5FD6">
      <w:pPr>
        <w:spacing w:after="0" w:line="240" w:lineRule="auto"/>
      </w:pPr>
      <w:r>
        <w:continuationSeparator/>
      </w:r>
    </w:p>
    <w:p w14:paraId="52F4C098" w14:textId="77777777" w:rsidR="006F0377" w:rsidRDefault="006F0377"/>
    <w:p w14:paraId="128D7059" w14:textId="77777777" w:rsidR="006F0377" w:rsidRDefault="006F0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151806C2" w:rsidR="00CD241A" w:rsidRDefault="00CD241A" w:rsidP="00934A35">
    <w:pPr>
      <w:pStyle w:val="Footer"/>
    </w:pPr>
    <w:r>
      <w:t xml:space="preserve">Negative:  </w:t>
    </w:r>
    <w:r w:rsidR="007D77EC">
      <w:t>Pharmaceutical Data Exclusivity</w:t>
    </w:r>
    <w:r w:rsidR="00037128">
      <w:t xml:space="preserve">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FF528E"/>
    <w:multiLevelType w:val="multilevel"/>
    <w:tmpl w:val="C3FC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BA2813"/>
    <w:multiLevelType w:val="multilevel"/>
    <w:tmpl w:val="42A0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060091">
    <w:abstractNumId w:val="34"/>
  </w:num>
  <w:num w:numId="2" w16cid:durableId="1971351722">
    <w:abstractNumId w:val="39"/>
  </w:num>
  <w:num w:numId="3" w16cid:durableId="199713005">
    <w:abstractNumId w:val="16"/>
  </w:num>
  <w:num w:numId="4" w16cid:durableId="221646753">
    <w:abstractNumId w:val="23"/>
  </w:num>
  <w:num w:numId="5" w16cid:durableId="1412003468">
    <w:abstractNumId w:val="46"/>
  </w:num>
  <w:num w:numId="6" w16cid:durableId="1160849007">
    <w:abstractNumId w:val="19"/>
  </w:num>
  <w:num w:numId="7" w16cid:durableId="86076082">
    <w:abstractNumId w:val="47"/>
  </w:num>
  <w:num w:numId="8" w16cid:durableId="1904756505">
    <w:abstractNumId w:val="42"/>
  </w:num>
  <w:num w:numId="9" w16cid:durableId="1526941290">
    <w:abstractNumId w:val="10"/>
  </w:num>
  <w:num w:numId="10" w16cid:durableId="861824156">
    <w:abstractNumId w:val="8"/>
  </w:num>
  <w:num w:numId="11" w16cid:durableId="1621447362">
    <w:abstractNumId w:val="7"/>
  </w:num>
  <w:num w:numId="12" w16cid:durableId="1979646634">
    <w:abstractNumId w:val="6"/>
  </w:num>
  <w:num w:numId="13" w16cid:durableId="642660123">
    <w:abstractNumId w:val="5"/>
  </w:num>
  <w:num w:numId="14" w16cid:durableId="2012100115">
    <w:abstractNumId w:val="9"/>
  </w:num>
  <w:num w:numId="15" w16cid:durableId="1087112598">
    <w:abstractNumId w:val="4"/>
  </w:num>
  <w:num w:numId="16" w16cid:durableId="1840775567">
    <w:abstractNumId w:val="3"/>
  </w:num>
  <w:num w:numId="17" w16cid:durableId="1365902265">
    <w:abstractNumId w:val="2"/>
  </w:num>
  <w:num w:numId="18" w16cid:durableId="1761096127">
    <w:abstractNumId w:val="1"/>
  </w:num>
  <w:num w:numId="19" w16cid:durableId="600114025">
    <w:abstractNumId w:val="45"/>
  </w:num>
  <w:num w:numId="20" w16cid:durableId="946162687">
    <w:abstractNumId w:val="37"/>
  </w:num>
  <w:num w:numId="21" w16cid:durableId="1642226943">
    <w:abstractNumId w:val="21"/>
  </w:num>
  <w:num w:numId="22" w16cid:durableId="235474995">
    <w:abstractNumId w:val="13"/>
  </w:num>
  <w:num w:numId="23" w16cid:durableId="89858959">
    <w:abstractNumId w:val="18"/>
  </w:num>
  <w:num w:numId="24" w16cid:durableId="1468355855">
    <w:abstractNumId w:val="14"/>
  </w:num>
  <w:num w:numId="25" w16cid:durableId="1421751107">
    <w:abstractNumId w:val="0"/>
  </w:num>
  <w:num w:numId="26" w16cid:durableId="1569345551">
    <w:abstractNumId w:val="33"/>
  </w:num>
  <w:num w:numId="27" w16cid:durableId="983393381">
    <w:abstractNumId w:val="28"/>
  </w:num>
  <w:num w:numId="28" w16cid:durableId="1909605884">
    <w:abstractNumId w:val="43"/>
  </w:num>
  <w:num w:numId="29" w16cid:durableId="1719815237">
    <w:abstractNumId w:val="25"/>
  </w:num>
  <w:num w:numId="30" w16cid:durableId="1359698170">
    <w:abstractNumId w:val="32"/>
  </w:num>
  <w:num w:numId="31" w16cid:durableId="1905599553">
    <w:abstractNumId w:val="15"/>
  </w:num>
  <w:num w:numId="32" w16cid:durableId="1452555743">
    <w:abstractNumId w:val="38"/>
  </w:num>
  <w:num w:numId="33" w16cid:durableId="908686577">
    <w:abstractNumId w:val="48"/>
  </w:num>
  <w:num w:numId="34" w16cid:durableId="103111875">
    <w:abstractNumId w:val="36"/>
  </w:num>
  <w:num w:numId="35" w16cid:durableId="2118478301">
    <w:abstractNumId w:val="27"/>
  </w:num>
  <w:num w:numId="36" w16cid:durableId="443619569">
    <w:abstractNumId w:val="41"/>
  </w:num>
  <w:num w:numId="37" w16cid:durableId="1120954308">
    <w:abstractNumId w:val="11"/>
  </w:num>
  <w:num w:numId="38" w16cid:durableId="1394812985">
    <w:abstractNumId w:val="22"/>
  </w:num>
  <w:num w:numId="39" w16cid:durableId="1727142330">
    <w:abstractNumId w:val="35"/>
  </w:num>
  <w:num w:numId="40" w16cid:durableId="660040248">
    <w:abstractNumId w:val="26"/>
  </w:num>
  <w:num w:numId="41" w16cid:durableId="1120342006">
    <w:abstractNumId w:val="20"/>
  </w:num>
  <w:num w:numId="42" w16cid:durableId="1572614763">
    <w:abstractNumId w:val="24"/>
  </w:num>
  <w:num w:numId="43" w16cid:durableId="168445438">
    <w:abstractNumId w:val="30"/>
  </w:num>
  <w:num w:numId="44" w16cid:durableId="1333415988">
    <w:abstractNumId w:val="40"/>
  </w:num>
  <w:num w:numId="45" w16cid:durableId="721712630">
    <w:abstractNumId w:val="17"/>
  </w:num>
  <w:num w:numId="46" w16cid:durableId="293752942">
    <w:abstractNumId w:val="31"/>
  </w:num>
  <w:num w:numId="47" w16cid:durableId="1983457993">
    <w:abstractNumId w:val="44"/>
  </w:num>
  <w:num w:numId="48" w16cid:durableId="1781684531">
    <w:abstractNumId w:val="12"/>
  </w:num>
  <w:num w:numId="49" w16cid:durableId="2725145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5181"/>
    <w:rsid w:val="00005714"/>
    <w:rsid w:val="00010A9C"/>
    <w:rsid w:val="00011BF9"/>
    <w:rsid w:val="000208CB"/>
    <w:rsid w:val="000257CF"/>
    <w:rsid w:val="00035C69"/>
    <w:rsid w:val="00037128"/>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5E1"/>
    <w:rsid w:val="0008580D"/>
    <w:rsid w:val="0008674B"/>
    <w:rsid w:val="00087135"/>
    <w:rsid w:val="0009425D"/>
    <w:rsid w:val="000948EB"/>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4F46"/>
    <w:rsid w:val="000E5DE4"/>
    <w:rsid w:val="000E63C4"/>
    <w:rsid w:val="000F24E5"/>
    <w:rsid w:val="000F3DEF"/>
    <w:rsid w:val="000F546C"/>
    <w:rsid w:val="000F5B0E"/>
    <w:rsid w:val="000F707C"/>
    <w:rsid w:val="00102632"/>
    <w:rsid w:val="00105BD1"/>
    <w:rsid w:val="00107860"/>
    <w:rsid w:val="001079B6"/>
    <w:rsid w:val="00114CE8"/>
    <w:rsid w:val="00115B03"/>
    <w:rsid w:val="001258E6"/>
    <w:rsid w:val="0012648D"/>
    <w:rsid w:val="0013545D"/>
    <w:rsid w:val="0013546D"/>
    <w:rsid w:val="001361FB"/>
    <w:rsid w:val="00137FFB"/>
    <w:rsid w:val="00145282"/>
    <w:rsid w:val="00153C7A"/>
    <w:rsid w:val="0015488C"/>
    <w:rsid w:val="00154DEB"/>
    <w:rsid w:val="00155F9C"/>
    <w:rsid w:val="00156FE9"/>
    <w:rsid w:val="001573F3"/>
    <w:rsid w:val="00160665"/>
    <w:rsid w:val="0017181C"/>
    <w:rsid w:val="00175B7A"/>
    <w:rsid w:val="0018534A"/>
    <w:rsid w:val="00190F49"/>
    <w:rsid w:val="00196952"/>
    <w:rsid w:val="001B09E8"/>
    <w:rsid w:val="001B5414"/>
    <w:rsid w:val="001C036D"/>
    <w:rsid w:val="001C2D79"/>
    <w:rsid w:val="001D547C"/>
    <w:rsid w:val="001D5FD6"/>
    <w:rsid w:val="001E383B"/>
    <w:rsid w:val="001E4494"/>
    <w:rsid w:val="001E5E07"/>
    <w:rsid w:val="001F0A3C"/>
    <w:rsid w:val="001F0ADE"/>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4D84"/>
    <w:rsid w:val="00285587"/>
    <w:rsid w:val="00290BD7"/>
    <w:rsid w:val="002932AB"/>
    <w:rsid w:val="00296C2E"/>
    <w:rsid w:val="0029753D"/>
    <w:rsid w:val="002A018C"/>
    <w:rsid w:val="002A286B"/>
    <w:rsid w:val="002A72DE"/>
    <w:rsid w:val="002B0F97"/>
    <w:rsid w:val="002B29BC"/>
    <w:rsid w:val="002B6379"/>
    <w:rsid w:val="002C1829"/>
    <w:rsid w:val="002C20CF"/>
    <w:rsid w:val="002C4542"/>
    <w:rsid w:val="002C7701"/>
    <w:rsid w:val="002D1F9C"/>
    <w:rsid w:val="002D2C8E"/>
    <w:rsid w:val="002D6A50"/>
    <w:rsid w:val="002D6DE6"/>
    <w:rsid w:val="002D71A7"/>
    <w:rsid w:val="002E0230"/>
    <w:rsid w:val="002E17CF"/>
    <w:rsid w:val="002E7D31"/>
    <w:rsid w:val="002F5017"/>
    <w:rsid w:val="002F6558"/>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51E8A"/>
    <w:rsid w:val="00363CA8"/>
    <w:rsid w:val="00365EDD"/>
    <w:rsid w:val="00373DA9"/>
    <w:rsid w:val="0037555C"/>
    <w:rsid w:val="00380948"/>
    <w:rsid w:val="00380EFB"/>
    <w:rsid w:val="00385059"/>
    <w:rsid w:val="00391D35"/>
    <w:rsid w:val="0039351B"/>
    <w:rsid w:val="00394FA5"/>
    <w:rsid w:val="00395227"/>
    <w:rsid w:val="003965EC"/>
    <w:rsid w:val="00396B4A"/>
    <w:rsid w:val="00397E32"/>
    <w:rsid w:val="003A1827"/>
    <w:rsid w:val="003B252C"/>
    <w:rsid w:val="003C737D"/>
    <w:rsid w:val="003E327F"/>
    <w:rsid w:val="003E478B"/>
    <w:rsid w:val="003E4ED3"/>
    <w:rsid w:val="003E6942"/>
    <w:rsid w:val="003F1174"/>
    <w:rsid w:val="003F54BA"/>
    <w:rsid w:val="003F77A3"/>
    <w:rsid w:val="003F7D2A"/>
    <w:rsid w:val="00401039"/>
    <w:rsid w:val="00401258"/>
    <w:rsid w:val="00402B63"/>
    <w:rsid w:val="00403FEC"/>
    <w:rsid w:val="004051DC"/>
    <w:rsid w:val="004060F7"/>
    <w:rsid w:val="004061A0"/>
    <w:rsid w:val="00413364"/>
    <w:rsid w:val="004225FE"/>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7F7"/>
    <w:rsid w:val="004928AB"/>
    <w:rsid w:val="0049400F"/>
    <w:rsid w:val="00495D1C"/>
    <w:rsid w:val="0049656E"/>
    <w:rsid w:val="004969CB"/>
    <w:rsid w:val="004969CF"/>
    <w:rsid w:val="004A276D"/>
    <w:rsid w:val="004B310E"/>
    <w:rsid w:val="004B3A39"/>
    <w:rsid w:val="004C1CEF"/>
    <w:rsid w:val="004C5C93"/>
    <w:rsid w:val="004C670D"/>
    <w:rsid w:val="004D0A9F"/>
    <w:rsid w:val="004D148E"/>
    <w:rsid w:val="004D57E8"/>
    <w:rsid w:val="004D5C71"/>
    <w:rsid w:val="004D5D79"/>
    <w:rsid w:val="004D605A"/>
    <w:rsid w:val="004F011F"/>
    <w:rsid w:val="004F139E"/>
    <w:rsid w:val="004F5168"/>
    <w:rsid w:val="00501F49"/>
    <w:rsid w:val="00502AA2"/>
    <w:rsid w:val="00502C26"/>
    <w:rsid w:val="005107E0"/>
    <w:rsid w:val="005111F7"/>
    <w:rsid w:val="005171FD"/>
    <w:rsid w:val="00520F71"/>
    <w:rsid w:val="00525BEF"/>
    <w:rsid w:val="005272F3"/>
    <w:rsid w:val="00532205"/>
    <w:rsid w:val="00533969"/>
    <w:rsid w:val="00542317"/>
    <w:rsid w:val="00553F1B"/>
    <w:rsid w:val="00565C56"/>
    <w:rsid w:val="005711FE"/>
    <w:rsid w:val="00571640"/>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89E"/>
    <w:rsid w:val="005B0EDD"/>
    <w:rsid w:val="005B1129"/>
    <w:rsid w:val="005B767C"/>
    <w:rsid w:val="005C043C"/>
    <w:rsid w:val="005C06B1"/>
    <w:rsid w:val="005C21E9"/>
    <w:rsid w:val="005C646E"/>
    <w:rsid w:val="005D0B0E"/>
    <w:rsid w:val="005D0BB9"/>
    <w:rsid w:val="005E55CC"/>
    <w:rsid w:val="005E7FF1"/>
    <w:rsid w:val="005F3569"/>
    <w:rsid w:val="005F5638"/>
    <w:rsid w:val="0060215A"/>
    <w:rsid w:val="00604E43"/>
    <w:rsid w:val="006060E6"/>
    <w:rsid w:val="006067DA"/>
    <w:rsid w:val="00616E3B"/>
    <w:rsid w:val="00617D82"/>
    <w:rsid w:val="006234D2"/>
    <w:rsid w:val="006306C1"/>
    <w:rsid w:val="006308D2"/>
    <w:rsid w:val="00631E65"/>
    <w:rsid w:val="006356B7"/>
    <w:rsid w:val="006359AF"/>
    <w:rsid w:val="0064347D"/>
    <w:rsid w:val="006454BC"/>
    <w:rsid w:val="006466FE"/>
    <w:rsid w:val="00647B08"/>
    <w:rsid w:val="006540DC"/>
    <w:rsid w:val="00654C3F"/>
    <w:rsid w:val="00660055"/>
    <w:rsid w:val="00660C99"/>
    <w:rsid w:val="006629BD"/>
    <w:rsid w:val="006676E4"/>
    <w:rsid w:val="00674F77"/>
    <w:rsid w:val="00675215"/>
    <w:rsid w:val="0067571B"/>
    <w:rsid w:val="006774C2"/>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0377"/>
    <w:rsid w:val="006F5163"/>
    <w:rsid w:val="006F5487"/>
    <w:rsid w:val="00700114"/>
    <w:rsid w:val="007006E3"/>
    <w:rsid w:val="00700C0A"/>
    <w:rsid w:val="0070221F"/>
    <w:rsid w:val="007159B0"/>
    <w:rsid w:val="00716745"/>
    <w:rsid w:val="00720189"/>
    <w:rsid w:val="00723743"/>
    <w:rsid w:val="0072413B"/>
    <w:rsid w:val="007254F4"/>
    <w:rsid w:val="0072778E"/>
    <w:rsid w:val="00730011"/>
    <w:rsid w:val="00732989"/>
    <w:rsid w:val="0073488F"/>
    <w:rsid w:val="0073768D"/>
    <w:rsid w:val="00744919"/>
    <w:rsid w:val="00744B8F"/>
    <w:rsid w:val="00745E72"/>
    <w:rsid w:val="00746139"/>
    <w:rsid w:val="007544E2"/>
    <w:rsid w:val="00756E9F"/>
    <w:rsid w:val="007571F3"/>
    <w:rsid w:val="00762EB7"/>
    <w:rsid w:val="007679E5"/>
    <w:rsid w:val="00776DAE"/>
    <w:rsid w:val="00777E79"/>
    <w:rsid w:val="00780049"/>
    <w:rsid w:val="00780657"/>
    <w:rsid w:val="007A0C4C"/>
    <w:rsid w:val="007A1F06"/>
    <w:rsid w:val="007B39AF"/>
    <w:rsid w:val="007B4BA3"/>
    <w:rsid w:val="007B534A"/>
    <w:rsid w:val="007B6228"/>
    <w:rsid w:val="007B62B3"/>
    <w:rsid w:val="007B6FA0"/>
    <w:rsid w:val="007C74BB"/>
    <w:rsid w:val="007C7916"/>
    <w:rsid w:val="007D0407"/>
    <w:rsid w:val="007D2883"/>
    <w:rsid w:val="007D2CAC"/>
    <w:rsid w:val="007D426A"/>
    <w:rsid w:val="007D77EC"/>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2483"/>
    <w:rsid w:val="008638DF"/>
    <w:rsid w:val="00872ED5"/>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E7B2C"/>
    <w:rsid w:val="008F07D0"/>
    <w:rsid w:val="008F09B7"/>
    <w:rsid w:val="008F1F55"/>
    <w:rsid w:val="008F2444"/>
    <w:rsid w:val="008F2665"/>
    <w:rsid w:val="00906D6A"/>
    <w:rsid w:val="00907909"/>
    <w:rsid w:val="00910B4E"/>
    <w:rsid w:val="009111BB"/>
    <w:rsid w:val="0092079A"/>
    <w:rsid w:val="00920E7C"/>
    <w:rsid w:val="00922CCD"/>
    <w:rsid w:val="00925386"/>
    <w:rsid w:val="0092592E"/>
    <w:rsid w:val="00931F6E"/>
    <w:rsid w:val="00932C8D"/>
    <w:rsid w:val="00934660"/>
    <w:rsid w:val="0093483A"/>
    <w:rsid w:val="00934A35"/>
    <w:rsid w:val="00935CB4"/>
    <w:rsid w:val="009370CB"/>
    <w:rsid w:val="00940D44"/>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8455D"/>
    <w:rsid w:val="009A2CF2"/>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2068"/>
    <w:rsid w:val="00A357D2"/>
    <w:rsid w:val="00A36994"/>
    <w:rsid w:val="00A3770A"/>
    <w:rsid w:val="00A427DD"/>
    <w:rsid w:val="00A42B02"/>
    <w:rsid w:val="00A4315D"/>
    <w:rsid w:val="00A43902"/>
    <w:rsid w:val="00A52A43"/>
    <w:rsid w:val="00A53707"/>
    <w:rsid w:val="00A54062"/>
    <w:rsid w:val="00A626BF"/>
    <w:rsid w:val="00A62D6F"/>
    <w:rsid w:val="00A63D98"/>
    <w:rsid w:val="00A645F2"/>
    <w:rsid w:val="00A66F2E"/>
    <w:rsid w:val="00A6757D"/>
    <w:rsid w:val="00A74149"/>
    <w:rsid w:val="00A75971"/>
    <w:rsid w:val="00A75E4E"/>
    <w:rsid w:val="00A77BEB"/>
    <w:rsid w:val="00A85480"/>
    <w:rsid w:val="00A8604A"/>
    <w:rsid w:val="00A911C9"/>
    <w:rsid w:val="00A91B3E"/>
    <w:rsid w:val="00A946F8"/>
    <w:rsid w:val="00A961A3"/>
    <w:rsid w:val="00A966DE"/>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05E8"/>
    <w:rsid w:val="00B50993"/>
    <w:rsid w:val="00B52241"/>
    <w:rsid w:val="00B52545"/>
    <w:rsid w:val="00B57D04"/>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8FB"/>
    <w:rsid w:val="00BD199F"/>
    <w:rsid w:val="00BD3B5D"/>
    <w:rsid w:val="00BD4899"/>
    <w:rsid w:val="00BD7D60"/>
    <w:rsid w:val="00BE15CE"/>
    <w:rsid w:val="00BF453C"/>
    <w:rsid w:val="00C00C61"/>
    <w:rsid w:val="00C01747"/>
    <w:rsid w:val="00C01FF0"/>
    <w:rsid w:val="00C04A45"/>
    <w:rsid w:val="00C04EE0"/>
    <w:rsid w:val="00C231EB"/>
    <w:rsid w:val="00C2655A"/>
    <w:rsid w:val="00C329BB"/>
    <w:rsid w:val="00C356C2"/>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38A"/>
    <w:rsid w:val="00C84DF9"/>
    <w:rsid w:val="00C92196"/>
    <w:rsid w:val="00C936FD"/>
    <w:rsid w:val="00C955AF"/>
    <w:rsid w:val="00C95D87"/>
    <w:rsid w:val="00CA0352"/>
    <w:rsid w:val="00CA24B4"/>
    <w:rsid w:val="00CA362E"/>
    <w:rsid w:val="00CA7824"/>
    <w:rsid w:val="00CB1171"/>
    <w:rsid w:val="00CB2EB4"/>
    <w:rsid w:val="00CB483B"/>
    <w:rsid w:val="00CB6A14"/>
    <w:rsid w:val="00CB7265"/>
    <w:rsid w:val="00CC02A9"/>
    <w:rsid w:val="00CC3FCA"/>
    <w:rsid w:val="00CC6669"/>
    <w:rsid w:val="00CC737B"/>
    <w:rsid w:val="00CD0720"/>
    <w:rsid w:val="00CD15BC"/>
    <w:rsid w:val="00CD241A"/>
    <w:rsid w:val="00CE26B5"/>
    <w:rsid w:val="00CE3F31"/>
    <w:rsid w:val="00CE7401"/>
    <w:rsid w:val="00CF1F4D"/>
    <w:rsid w:val="00CF3AD9"/>
    <w:rsid w:val="00CF58CF"/>
    <w:rsid w:val="00CF5E42"/>
    <w:rsid w:val="00CF7A7D"/>
    <w:rsid w:val="00D05A53"/>
    <w:rsid w:val="00D06BB3"/>
    <w:rsid w:val="00D07331"/>
    <w:rsid w:val="00D11CE7"/>
    <w:rsid w:val="00D14B08"/>
    <w:rsid w:val="00D20299"/>
    <w:rsid w:val="00D21A63"/>
    <w:rsid w:val="00D230EB"/>
    <w:rsid w:val="00D30027"/>
    <w:rsid w:val="00D36BE1"/>
    <w:rsid w:val="00D36DB8"/>
    <w:rsid w:val="00D37F01"/>
    <w:rsid w:val="00D462AA"/>
    <w:rsid w:val="00D47FBB"/>
    <w:rsid w:val="00D52C45"/>
    <w:rsid w:val="00D57B35"/>
    <w:rsid w:val="00D60C44"/>
    <w:rsid w:val="00D61ACA"/>
    <w:rsid w:val="00D6536A"/>
    <w:rsid w:val="00D67FFD"/>
    <w:rsid w:val="00D730AB"/>
    <w:rsid w:val="00D74F8B"/>
    <w:rsid w:val="00D760BB"/>
    <w:rsid w:val="00D802FC"/>
    <w:rsid w:val="00D85247"/>
    <w:rsid w:val="00D87882"/>
    <w:rsid w:val="00D91250"/>
    <w:rsid w:val="00D922B2"/>
    <w:rsid w:val="00D928F6"/>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D47C3"/>
    <w:rsid w:val="00DE4778"/>
    <w:rsid w:val="00DE58C0"/>
    <w:rsid w:val="00DE6160"/>
    <w:rsid w:val="00DE6823"/>
    <w:rsid w:val="00DE6FD6"/>
    <w:rsid w:val="00DE7917"/>
    <w:rsid w:val="00DF3578"/>
    <w:rsid w:val="00DF5D13"/>
    <w:rsid w:val="00E017EE"/>
    <w:rsid w:val="00E0707C"/>
    <w:rsid w:val="00E14362"/>
    <w:rsid w:val="00E246DF"/>
    <w:rsid w:val="00E2481F"/>
    <w:rsid w:val="00E2585B"/>
    <w:rsid w:val="00E27BC1"/>
    <w:rsid w:val="00E316D0"/>
    <w:rsid w:val="00E334CB"/>
    <w:rsid w:val="00E351BF"/>
    <w:rsid w:val="00E401F0"/>
    <w:rsid w:val="00E41000"/>
    <w:rsid w:val="00E42C4F"/>
    <w:rsid w:val="00E4330C"/>
    <w:rsid w:val="00E43F78"/>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1A8F"/>
    <w:rsid w:val="00E726F8"/>
    <w:rsid w:val="00E7494E"/>
    <w:rsid w:val="00E774C8"/>
    <w:rsid w:val="00E820B6"/>
    <w:rsid w:val="00E84ABE"/>
    <w:rsid w:val="00E87BCD"/>
    <w:rsid w:val="00EA05BC"/>
    <w:rsid w:val="00EA4ED1"/>
    <w:rsid w:val="00EA4ED7"/>
    <w:rsid w:val="00EA565D"/>
    <w:rsid w:val="00EB6D6C"/>
    <w:rsid w:val="00EC21D1"/>
    <w:rsid w:val="00EC3628"/>
    <w:rsid w:val="00EC3B53"/>
    <w:rsid w:val="00EC4888"/>
    <w:rsid w:val="00EC5455"/>
    <w:rsid w:val="00EC5ED4"/>
    <w:rsid w:val="00ED1364"/>
    <w:rsid w:val="00ED1D10"/>
    <w:rsid w:val="00ED6C41"/>
    <w:rsid w:val="00EE0168"/>
    <w:rsid w:val="00EE1E8E"/>
    <w:rsid w:val="00EE2578"/>
    <w:rsid w:val="00EE3E2F"/>
    <w:rsid w:val="00EE654B"/>
    <w:rsid w:val="00EF253F"/>
    <w:rsid w:val="00EF4943"/>
    <w:rsid w:val="00EF6A8D"/>
    <w:rsid w:val="00F01E6C"/>
    <w:rsid w:val="00F02239"/>
    <w:rsid w:val="00F04C23"/>
    <w:rsid w:val="00F07344"/>
    <w:rsid w:val="00F07F3F"/>
    <w:rsid w:val="00F10343"/>
    <w:rsid w:val="00F114A4"/>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0307"/>
    <w:rsid w:val="00FC67EF"/>
    <w:rsid w:val="00FC6B5A"/>
    <w:rsid w:val="00FC7015"/>
    <w:rsid w:val="00FC74DB"/>
    <w:rsid w:val="00FC7D49"/>
    <w:rsid w:val="00FD0EB6"/>
    <w:rsid w:val="00FD47AA"/>
    <w:rsid w:val="00FD4B1C"/>
    <w:rsid w:val="00FD77E9"/>
    <w:rsid w:val="00FE297A"/>
    <w:rsid w:val="00FE5B7F"/>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character" w:customStyle="1" w:styleId="title-text">
    <w:name w:val="title-text"/>
    <w:basedOn w:val="DefaultParagraphFont"/>
    <w:rsid w:val="0012648D"/>
  </w:style>
  <w:style w:type="character" w:customStyle="1" w:styleId="show-for-sr">
    <w:name w:val="show-for-sr"/>
    <w:basedOn w:val="DefaultParagraphFont"/>
    <w:rsid w:val="005C21E9"/>
  </w:style>
  <w:style w:type="character" w:styleId="UnresolvedMention">
    <w:name w:val="Unresolved Mention"/>
    <w:basedOn w:val="DefaultParagraphFont"/>
    <w:uiPriority w:val="99"/>
    <w:semiHidden/>
    <w:unhideWhenUsed/>
    <w:rsid w:val="0073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1780786">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53">
      <w:bodyDiv w:val="1"/>
      <w:marLeft w:val="0"/>
      <w:marRight w:val="0"/>
      <w:marTop w:val="0"/>
      <w:marBottom w:val="0"/>
      <w:divBdr>
        <w:top w:val="none" w:sz="0" w:space="0" w:color="auto"/>
        <w:left w:val="none" w:sz="0" w:space="0" w:color="auto"/>
        <w:bottom w:val="none" w:sz="0" w:space="0" w:color="auto"/>
        <w:right w:val="none" w:sz="0" w:space="0" w:color="auto"/>
      </w:divBdr>
    </w:div>
    <w:div w:id="31392701">
      <w:bodyDiv w:val="1"/>
      <w:marLeft w:val="0"/>
      <w:marRight w:val="0"/>
      <w:marTop w:val="0"/>
      <w:marBottom w:val="0"/>
      <w:divBdr>
        <w:top w:val="none" w:sz="0" w:space="0" w:color="auto"/>
        <w:left w:val="none" w:sz="0" w:space="0" w:color="auto"/>
        <w:bottom w:val="none" w:sz="0" w:space="0" w:color="auto"/>
        <w:right w:val="none" w:sz="0" w:space="0" w:color="auto"/>
      </w:divBdr>
    </w:div>
    <w:div w:id="44566838">
      <w:bodyDiv w:val="1"/>
      <w:marLeft w:val="0"/>
      <w:marRight w:val="0"/>
      <w:marTop w:val="0"/>
      <w:marBottom w:val="0"/>
      <w:divBdr>
        <w:top w:val="none" w:sz="0" w:space="0" w:color="auto"/>
        <w:left w:val="none" w:sz="0" w:space="0" w:color="auto"/>
        <w:bottom w:val="none" w:sz="0" w:space="0" w:color="auto"/>
        <w:right w:val="none" w:sz="0" w:space="0" w:color="auto"/>
      </w:divBdr>
    </w:div>
    <w:div w:id="45570347">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6589985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3732875">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0769031">
      <w:bodyDiv w:val="1"/>
      <w:marLeft w:val="0"/>
      <w:marRight w:val="0"/>
      <w:marTop w:val="0"/>
      <w:marBottom w:val="0"/>
      <w:divBdr>
        <w:top w:val="none" w:sz="0" w:space="0" w:color="auto"/>
        <w:left w:val="none" w:sz="0" w:space="0" w:color="auto"/>
        <w:bottom w:val="none" w:sz="0" w:space="0" w:color="auto"/>
        <w:right w:val="none" w:sz="0" w:space="0" w:color="auto"/>
      </w:divBdr>
      <w:divsChild>
        <w:div w:id="831066717">
          <w:marLeft w:val="0"/>
          <w:marRight w:val="0"/>
          <w:marTop w:val="0"/>
          <w:marBottom w:val="240"/>
          <w:divBdr>
            <w:top w:val="none" w:sz="0" w:space="0" w:color="auto"/>
            <w:left w:val="none" w:sz="0" w:space="0" w:color="auto"/>
            <w:bottom w:val="none" w:sz="0" w:space="0" w:color="auto"/>
            <w:right w:val="none" w:sz="0" w:space="0" w:color="auto"/>
          </w:divBdr>
        </w:div>
        <w:div w:id="384530538">
          <w:marLeft w:val="0"/>
          <w:marRight w:val="0"/>
          <w:marTop w:val="0"/>
          <w:marBottom w:val="240"/>
          <w:divBdr>
            <w:top w:val="none" w:sz="0" w:space="0" w:color="auto"/>
            <w:left w:val="none" w:sz="0" w:space="0" w:color="auto"/>
            <w:bottom w:val="none" w:sz="0" w:space="0" w:color="auto"/>
            <w:right w:val="none" w:sz="0" w:space="0" w:color="auto"/>
          </w:divBdr>
        </w:div>
      </w:divsChild>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65701737">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663531">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0165127">
      <w:bodyDiv w:val="1"/>
      <w:marLeft w:val="0"/>
      <w:marRight w:val="0"/>
      <w:marTop w:val="0"/>
      <w:marBottom w:val="0"/>
      <w:divBdr>
        <w:top w:val="none" w:sz="0" w:space="0" w:color="auto"/>
        <w:left w:val="none" w:sz="0" w:space="0" w:color="auto"/>
        <w:bottom w:val="none" w:sz="0" w:space="0" w:color="auto"/>
        <w:right w:val="none" w:sz="0" w:space="0" w:color="auto"/>
      </w:divBdr>
    </w:div>
    <w:div w:id="522939641">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38322706">
      <w:bodyDiv w:val="1"/>
      <w:marLeft w:val="0"/>
      <w:marRight w:val="0"/>
      <w:marTop w:val="0"/>
      <w:marBottom w:val="0"/>
      <w:divBdr>
        <w:top w:val="none" w:sz="0" w:space="0" w:color="auto"/>
        <w:left w:val="none" w:sz="0" w:space="0" w:color="auto"/>
        <w:bottom w:val="none" w:sz="0" w:space="0" w:color="auto"/>
        <w:right w:val="none" w:sz="0" w:space="0" w:color="auto"/>
      </w:divBdr>
    </w:div>
    <w:div w:id="54213935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008383">
      <w:bodyDiv w:val="1"/>
      <w:marLeft w:val="0"/>
      <w:marRight w:val="0"/>
      <w:marTop w:val="0"/>
      <w:marBottom w:val="0"/>
      <w:divBdr>
        <w:top w:val="none" w:sz="0" w:space="0" w:color="auto"/>
        <w:left w:val="none" w:sz="0" w:space="0" w:color="auto"/>
        <w:bottom w:val="none" w:sz="0" w:space="0" w:color="auto"/>
        <w:right w:val="none" w:sz="0" w:space="0" w:color="auto"/>
      </w:divBdr>
      <w:divsChild>
        <w:div w:id="412974146">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1511198">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1294503">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139077">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6990444">
      <w:bodyDiv w:val="1"/>
      <w:marLeft w:val="0"/>
      <w:marRight w:val="0"/>
      <w:marTop w:val="0"/>
      <w:marBottom w:val="0"/>
      <w:divBdr>
        <w:top w:val="none" w:sz="0" w:space="0" w:color="auto"/>
        <w:left w:val="none" w:sz="0" w:space="0" w:color="auto"/>
        <w:bottom w:val="none" w:sz="0" w:space="0" w:color="auto"/>
        <w:right w:val="none" w:sz="0" w:space="0" w:color="auto"/>
      </w:divBdr>
      <w:divsChild>
        <w:div w:id="892235524">
          <w:marLeft w:val="0"/>
          <w:marRight w:val="0"/>
          <w:marTop w:val="0"/>
          <w:marBottom w:val="240"/>
          <w:divBdr>
            <w:top w:val="none" w:sz="0" w:space="0" w:color="auto"/>
            <w:left w:val="none" w:sz="0" w:space="0" w:color="auto"/>
            <w:bottom w:val="none" w:sz="0" w:space="0" w:color="auto"/>
            <w:right w:val="none" w:sz="0" w:space="0" w:color="auto"/>
          </w:divBdr>
        </w:div>
        <w:div w:id="59593838">
          <w:marLeft w:val="0"/>
          <w:marRight w:val="0"/>
          <w:marTop w:val="0"/>
          <w:marBottom w:val="240"/>
          <w:divBdr>
            <w:top w:val="none" w:sz="0" w:space="0" w:color="auto"/>
            <w:left w:val="none" w:sz="0" w:space="0" w:color="auto"/>
            <w:bottom w:val="none" w:sz="0" w:space="0" w:color="auto"/>
            <w:right w:val="none" w:sz="0" w:space="0" w:color="auto"/>
          </w:divBdr>
        </w:div>
      </w:divsChild>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4416050">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983">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55627200">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452871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7298015">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1776189">
      <w:bodyDiv w:val="1"/>
      <w:marLeft w:val="0"/>
      <w:marRight w:val="0"/>
      <w:marTop w:val="0"/>
      <w:marBottom w:val="0"/>
      <w:divBdr>
        <w:top w:val="none" w:sz="0" w:space="0" w:color="auto"/>
        <w:left w:val="none" w:sz="0" w:space="0" w:color="auto"/>
        <w:bottom w:val="none" w:sz="0" w:space="0" w:color="auto"/>
        <w:right w:val="none" w:sz="0" w:space="0" w:color="auto"/>
      </w:divBdr>
      <w:divsChild>
        <w:div w:id="559168725">
          <w:marLeft w:val="0"/>
          <w:marRight w:val="0"/>
          <w:marTop w:val="0"/>
          <w:marBottom w:val="0"/>
          <w:divBdr>
            <w:top w:val="dotted" w:sz="12" w:space="19" w:color="ADADAD"/>
            <w:left w:val="none" w:sz="0" w:space="0" w:color="auto"/>
            <w:bottom w:val="dotted" w:sz="12" w:space="15" w:color="ADADAD"/>
            <w:right w:val="none" w:sz="0" w:space="0" w:color="auto"/>
          </w:divBdr>
        </w:div>
        <w:div w:id="2144469478">
          <w:marLeft w:val="0"/>
          <w:marRight w:val="0"/>
          <w:marTop w:val="0"/>
          <w:marBottom w:val="0"/>
          <w:divBdr>
            <w:top w:val="none" w:sz="0" w:space="0" w:color="auto"/>
            <w:left w:val="none" w:sz="0" w:space="0" w:color="auto"/>
            <w:bottom w:val="none" w:sz="0" w:space="0" w:color="auto"/>
            <w:right w:val="none" w:sz="0" w:space="0" w:color="auto"/>
          </w:divBdr>
          <w:divsChild>
            <w:div w:id="21323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862433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1431551">
      <w:bodyDiv w:val="1"/>
      <w:marLeft w:val="0"/>
      <w:marRight w:val="0"/>
      <w:marTop w:val="0"/>
      <w:marBottom w:val="0"/>
      <w:divBdr>
        <w:top w:val="none" w:sz="0" w:space="0" w:color="auto"/>
        <w:left w:val="none" w:sz="0" w:space="0" w:color="auto"/>
        <w:bottom w:val="none" w:sz="0" w:space="0" w:color="auto"/>
        <w:right w:val="none" w:sz="0" w:space="0" w:color="auto"/>
      </w:divBdr>
      <w:divsChild>
        <w:div w:id="756905258">
          <w:marLeft w:val="0"/>
          <w:marRight w:val="0"/>
          <w:marTop w:val="0"/>
          <w:marBottom w:val="0"/>
          <w:divBdr>
            <w:top w:val="none" w:sz="0" w:space="0" w:color="auto"/>
            <w:left w:val="none" w:sz="0" w:space="0" w:color="auto"/>
            <w:bottom w:val="none" w:sz="0" w:space="0" w:color="auto"/>
            <w:right w:val="none" w:sz="0" w:space="0" w:color="auto"/>
          </w:divBdr>
        </w:div>
      </w:divsChild>
    </w:div>
    <w:div w:id="1796019374">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550641">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098769">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55882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88852796">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23944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435351">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83114-1_7" TargetMode="External"/><Relationship Id="rId13" Type="http://schemas.openxmlformats.org/officeDocument/2006/relationships/hyperlink" Target="https://www.congress.gov/crs-product/R46679" TargetMode="External"/><Relationship Id="rId18" Type="http://schemas.openxmlformats.org/officeDocument/2006/relationships/hyperlink" Target="https://geneva-network.com/research/regulatory-data-protection-matters-medicin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apers.ssrn.com/sol3/papers.cfm?abstract_id=1620606" TargetMode="External"/><Relationship Id="rId17" Type="http://schemas.openxmlformats.org/officeDocument/2006/relationships/hyperlink" Target="https://geneva-network.com/research/regulatory-data-protection-matters-medicine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foley.com/insights/publications/2023/01/uspto-fda-listening-voices-patient-pa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162060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tif.org/publications/2023/07/17/hidden-toll-of-drug-price-controls-fewer-new-treatments-higher-medical-costs-for-world/" TargetMode="External"/><Relationship Id="rId23" Type="http://schemas.openxmlformats.org/officeDocument/2006/relationships/fontTable" Target="fontTable.xml"/><Relationship Id="rId10" Type="http://schemas.openxmlformats.org/officeDocument/2006/relationships/hyperlink" Target="https://papers.ssrn.com/sol3/papers.cfm?abstract_id=1620606" TargetMode="External"/><Relationship Id="rId19" Type="http://schemas.openxmlformats.org/officeDocument/2006/relationships/hyperlink" Target="https://geneva-network.com/research/regulatory-data-protection-matters-medicines/" TargetMode="External"/><Relationship Id="rId4" Type="http://schemas.openxmlformats.org/officeDocument/2006/relationships/settings" Target="settings.xml"/><Relationship Id="rId9" Type="http://schemas.openxmlformats.org/officeDocument/2006/relationships/hyperlink" Target="https://papers.ssrn.com/sol3/papers.cfm?abstract_id=1620606" TargetMode="External"/><Relationship Id="rId14" Type="http://schemas.openxmlformats.org/officeDocument/2006/relationships/hyperlink" Target="https://itif.org/publications/2023/07/17/hidden-toll-of-drug-price-controls-fewer-new-treatments-higher-medical-costs-for-worl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C2DE0-9C46-4AD9-A2DF-5676E9AD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5844</TotalTime>
  <Pages>14</Pages>
  <Words>7302</Words>
  <Characters>41628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48833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88</cp:revision>
  <cp:lastPrinted>2014-07-05T10:25:00Z</cp:lastPrinted>
  <dcterms:created xsi:type="dcterms:W3CDTF">2022-12-22T23:29:00Z</dcterms:created>
  <dcterms:modified xsi:type="dcterms:W3CDTF">2025-04-14T14:01:00Z</dcterms:modified>
</cp:coreProperties>
</file>