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2EE66" w14:textId="0A7AD8E6" w:rsidR="004064E9" w:rsidRPr="00A84C0B" w:rsidRDefault="007031E0" w:rsidP="004064E9">
      <w:pPr>
        <w:pStyle w:val="Red-Title"/>
        <w:rPr>
          <w:sz w:val="28"/>
          <w:szCs w:val="28"/>
        </w:rPr>
      </w:pPr>
      <w:r>
        <w:rPr>
          <w:sz w:val="52"/>
          <w:szCs w:val="52"/>
        </w:rPr>
        <w:t>Good Examples</w:t>
      </w:r>
      <w:r w:rsidR="00A84C0B">
        <w:rPr>
          <w:sz w:val="52"/>
          <w:szCs w:val="52"/>
        </w:rPr>
        <w:br/>
      </w:r>
      <w:r w:rsidR="00ED7CC9">
        <w:rPr>
          <w:sz w:val="28"/>
          <w:szCs w:val="28"/>
        </w:rPr>
        <w:t>Applications Article</w:t>
      </w:r>
      <w:r w:rsidR="00DB7B76" w:rsidRPr="005F53C5">
        <w:rPr>
          <w:sz w:val="28"/>
          <w:szCs w:val="28"/>
        </w:rPr>
        <w:t xml:space="preserve"> by </w:t>
      </w:r>
      <w:r w:rsidR="00CB0B95">
        <w:rPr>
          <w:sz w:val="28"/>
          <w:szCs w:val="28"/>
        </w:rPr>
        <w:t>Mark Csoros</w:t>
      </w:r>
    </w:p>
    <w:p w14:paraId="2AC09560" w14:textId="77777777" w:rsidR="004064E9" w:rsidRDefault="004064E9" w:rsidP="004064E9">
      <w:pPr>
        <w:ind w:left="-180"/>
        <w:jc w:val="center"/>
      </w:pPr>
      <w:r>
        <w:rPr>
          <w:noProof/>
        </w:rPr>
        <w:drawing>
          <wp:inline distT="0" distB="0" distL="0" distR="0" wp14:anchorId="64DB38D0" wp14:editId="00275627">
            <wp:extent cx="4283375" cy="3540162"/>
            <wp:effectExtent l="133350" t="114300" r="136525" b="155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rotWithShape="1">
                    <a:blip r:embed="rId8" cstate="print">
                      <a:extLst>
                        <a:ext uri="{28A0092B-C50C-407E-A947-70E740481C1C}">
                          <a14:useLocalDpi xmlns:a14="http://schemas.microsoft.com/office/drawing/2010/main" val="0"/>
                        </a:ext>
                      </a:extLst>
                    </a:blip>
                    <a:srcRect l="4496" t="4232" r="1340" b="9276"/>
                    <a:stretch/>
                  </pic:blipFill>
                  <pic:spPr bwMode="auto">
                    <a:xfrm>
                      <a:off x="0" y="0"/>
                      <a:ext cx="4311603" cy="3563492"/>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3ED07C52" w14:textId="797F247C" w:rsidR="00462178" w:rsidRDefault="00462178" w:rsidP="00462178">
      <w:r>
        <w:tab/>
        <w:t xml:space="preserve">Hello! As you can tell from the subtitle, this piece is all about applications. Part I contains some advice on how to successfully set up, run, and respond to applications, Part II contains </w:t>
      </w:r>
      <w:r w:rsidR="0017121B">
        <w:t xml:space="preserve">Affirmative </w:t>
      </w:r>
      <w:r>
        <w:t>applications</w:t>
      </w:r>
      <w:r w:rsidR="0017121B">
        <w:t>, and Part III contains Negative applications</w:t>
      </w:r>
      <w:r>
        <w:t xml:space="preserve">. </w:t>
      </w:r>
      <w:r w:rsidR="00BD3A7D">
        <w:t xml:space="preserve">Part IV, which I’ve entitled “Applications that Muddy the Water” is designed to give you some new concepts and perspectives to think about. </w:t>
      </w:r>
    </w:p>
    <w:p w14:paraId="20A27EB9" w14:textId="3743CB06" w:rsidR="00A52D37" w:rsidRDefault="00923C47" w:rsidP="0098534E">
      <w:pPr>
        <w:pStyle w:val="Heading1"/>
      </w:pPr>
      <w:r>
        <w:t xml:space="preserve">Part I: </w:t>
      </w:r>
      <w:r w:rsidR="006C2110">
        <w:t>General Guidelines</w:t>
      </w:r>
      <w:r w:rsidR="000A7CFB">
        <w:t xml:space="preserve"> </w:t>
      </w:r>
    </w:p>
    <w:p w14:paraId="631D0EE6" w14:textId="74376B0C" w:rsidR="006C2110" w:rsidRDefault="002744EF" w:rsidP="003021BD">
      <w:pPr>
        <w:pStyle w:val="Heading2"/>
      </w:pPr>
      <w:r>
        <w:t>Definitions are key</w:t>
      </w:r>
    </w:p>
    <w:p w14:paraId="0D12A9D7" w14:textId="71DC18EA" w:rsidR="003021BD" w:rsidRDefault="003021BD" w:rsidP="003021BD">
      <w:r>
        <w:tab/>
        <w:t xml:space="preserve">To run good applications, you </w:t>
      </w:r>
      <w:proofErr w:type="gramStart"/>
      <w:r w:rsidR="00EA66D4">
        <w:t>have to</w:t>
      </w:r>
      <w:proofErr w:type="gramEnd"/>
      <w:r w:rsidR="00EA66D4">
        <w:t xml:space="preserve"> run </w:t>
      </w:r>
      <w:r>
        <w:t>definitions</w:t>
      </w:r>
      <w:r w:rsidR="00EA66D4">
        <w:t xml:space="preserve"> that are convincing and strategically sound. By that, I mean that your definitions must support your </w:t>
      </w:r>
      <w:proofErr w:type="spellStart"/>
      <w:r w:rsidR="00EA66D4">
        <w:t>resolutional</w:t>
      </w:r>
      <w:proofErr w:type="spellEnd"/>
      <w:r w:rsidR="00EA66D4">
        <w:t xml:space="preserve"> analysis, be reasonable enough for the judge to accept, and allow you to run persuasive applications. </w:t>
      </w:r>
      <w:r w:rsidR="00E36DC6">
        <w:t>F</w:t>
      </w:r>
      <w:r w:rsidR="00EA66D4">
        <w:t>ar too often, debaters settle on a set of applications and then tailor their definitions around those applications. That’s exactly, 100%</w:t>
      </w:r>
      <w:r w:rsidR="00E36DC6">
        <w:t>, completely</w:t>
      </w:r>
      <w:r w:rsidR="00EA66D4">
        <w:t xml:space="preserve"> backwards. There are hundreds of applications out there, and only a few good </w:t>
      </w:r>
      <w:r w:rsidR="00EA66D4">
        <w:lastRenderedPageBreak/>
        <w:t xml:space="preserve">definitions for each side of the resolution. So, pick your definitions first, frame the resolution in the most advantageous way, and then find examples to support your logic. </w:t>
      </w:r>
    </w:p>
    <w:p w14:paraId="18D2EDE9" w14:textId="26ECE535" w:rsidR="00E36DC6" w:rsidRDefault="00EA66D4" w:rsidP="003021BD">
      <w:r>
        <w:tab/>
        <w:t xml:space="preserve">With that said, it’s important to choose definitions that allow you to debate the applications well. </w:t>
      </w:r>
      <w:r w:rsidR="00E36DC6">
        <w:t>W</w:t>
      </w:r>
      <w:r w:rsidR="00497771">
        <w:t>e</w:t>
      </w:r>
      <w:r>
        <w:t xml:space="preserve"> can’t</w:t>
      </w:r>
      <w:r w:rsidR="00497771">
        <w:t xml:space="preserve"> usually</w:t>
      </w:r>
      <w:r>
        <w:t xml:space="preserve"> challenge the facts</w:t>
      </w:r>
      <w:r w:rsidR="00497771">
        <w:t xml:space="preserve"> of a</w:t>
      </w:r>
      <w:r w:rsidR="00E36DC6">
        <w:t>n</w:t>
      </w:r>
      <w:r w:rsidR="00497771">
        <w:t xml:space="preserve"> application, so </w:t>
      </w:r>
      <w:r w:rsidR="00E36DC6">
        <w:t xml:space="preserve">we respond by minimizing, coopting, or definitionally excluding the application. </w:t>
      </w:r>
      <w:r w:rsidR="00861DBB">
        <w:t>Here’s what that looks like:</w:t>
      </w:r>
      <w:r w:rsidR="00E36DC6">
        <w:tab/>
      </w:r>
    </w:p>
    <w:p w14:paraId="64E3A196" w14:textId="0FD18A1D" w:rsidR="00861DBB" w:rsidRDefault="00861DBB" w:rsidP="00861DBB">
      <w:pPr>
        <w:pStyle w:val="NoSpacing"/>
        <w:rPr>
          <w:i/>
          <w:iCs/>
        </w:rPr>
      </w:pPr>
      <w:r w:rsidRPr="00861DBB">
        <w:t>Minimization:</w:t>
      </w:r>
      <w:r w:rsidRPr="00861DBB">
        <w:rPr>
          <w:i/>
          <w:iCs/>
        </w:rPr>
        <w:t xml:space="preserve"> </w:t>
      </w:r>
      <w:r w:rsidR="00E36DC6" w:rsidRPr="00861DBB">
        <w:rPr>
          <w:i/>
          <w:iCs/>
        </w:rPr>
        <w:t>His application is true, but only represents a tiny fraction of the cases where multiculturalism and assimilation are in conflict.</w:t>
      </w:r>
    </w:p>
    <w:p w14:paraId="74AC2FCE" w14:textId="77777777" w:rsidR="00861DBB" w:rsidRPr="00861DBB" w:rsidRDefault="00861DBB" w:rsidP="00861DBB">
      <w:pPr>
        <w:pStyle w:val="NoSpacing"/>
        <w:rPr>
          <w:i/>
          <w:iCs/>
        </w:rPr>
      </w:pPr>
    </w:p>
    <w:p w14:paraId="21E16186" w14:textId="0CB2F7A9" w:rsidR="00861DBB" w:rsidRDefault="00861DBB" w:rsidP="00861DBB">
      <w:pPr>
        <w:pStyle w:val="NoSpacing"/>
        <w:rPr>
          <w:i/>
          <w:iCs/>
        </w:rPr>
      </w:pPr>
      <w:r w:rsidRPr="00861DBB">
        <w:t>Cooption:</w:t>
      </w:r>
      <w:r w:rsidRPr="00861DBB">
        <w:rPr>
          <w:i/>
          <w:iCs/>
        </w:rPr>
        <w:t xml:space="preserve"> </w:t>
      </w:r>
      <w:r w:rsidR="00E36DC6" w:rsidRPr="00861DBB">
        <w:rPr>
          <w:i/>
          <w:iCs/>
        </w:rPr>
        <w:t>His application is true, but definitionally, it</w:t>
      </w:r>
      <w:r w:rsidR="00497771" w:rsidRPr="00861DBB">
        <w:rPr>
          <w:i/>
          <w:iCs/>
        </w:rPr>
        <w:t xml:space="preserve"> </w:t>
      </w:r>
      <w:proofErr w:type="gramStart"/>
      <w:r w:rsidR="00E36DC6" w:rsidRPr="00861DBB">
        <w:rPr>
          <w:i/>
          <w:iCs/>
        </w:rPr>
        <w:t>actually supports</w:t>
      </w:r>
      <w:proofErr w:type="gramEnd"/>
      <w:r w:rsidR="00E36DC6" w:rsidRPr="00861DBB">
        <w:rPr>
          <w:i/>
          <w:iCs/>
        </w:rPr>
        <w:t xml:space="preserve"> my side of the resolution</w:t>
      </w:r>
      <w:r w:rsidRPr="00861DBB">
        <w:rPr>
          <w:i/>
          <w:iCs/>
        </w:rPr>
        <w:t>.</w:t>
      </w:r>
    </w:p>
    <w:p w14:paraId="48D3D1C1" w14:textId="77777777" w:rsidR="00861DBB" w:rsidRPr="00861DBB" w:rsidRDefault="00861DBB" w:rsidP="00861DBB">
      <w:pPr>
        <w:pStyle w:val="NoSpacing"/>
        <w:rPr>
          <w:i/>
          <w:iCs/>
        </w:rPr>
      </w:pPr>
    </w:p>
    <w:p w14:paraId="7FE26246" w14:textId="0BBAEB09" w:rsidR="00E36DC6" w:rsidRPr="00861DBB" w:rsidRDefault="00861DBB" w:rsidP="00861DBB">
      <w:pPr>
        <w:pStyle w:val="NoSpacing"/>
        <w:rPr>
          <w:i/>
          <w:iCs/>
        </w:rPr>
      </w:pPr>
      <w:r w:rsidRPr="00861DBB">
        <w:t>Definitional exclusion:</w:t>
      </w:r>
      <w:r w:rsidRPr="00861DBB">
        <w:rPr>
          <w:i/>
          <w:iCs/>
        </w:rPr>
        <w:t xml:space="preserve"> </w:t>
      </w:r>
      <w:r w:rsidR="00E36DC6" w:rsidRPr="00861DBB">
        <w:rPr>
          <w:i/>
          <w:iCs/>
        </w:rPr>
        <w:t>His application is true, but definitionally, it doesn’t apply</w:t>
      </w:r>
      <w:r w:rsidR="00B036C9" w:rsidRPr="00861DBB">
        <w:rPr>
          <w:i/>
          <w:iCs/>
        </w:rPr>
        <w:t xml:space="preserve"> to the resolution</w:t>
      </w:r>
      <w:r w:rsidR="00E36DC6" w:rsidRPr="00861DBB">
        <w:rPr>
          <w:i/>
          <w:iCs/>
        </w:rPr>
        <w:t>.</w:t>
      </w:r>
    </w:p>
    <w:p w14:paraId="1CD76F32" w14:textId="77777777" w:rsidR="00861DBB" w:rsidRDefault="00861DBB" w:rsidP="00861DBB">
      <w:pPr>
        <w:pStyle w:val="NoSpacing"/>
      </w:pPr>
    </w:p>
    <w:p w14:paraId="07A586F7" w14:textId="2CEA18C9" w:rsidR="003021BD" w:rsidRPr="003021BD" w:rsidRDefault="00861DBB" w:rsidP="003021BD">
      <w:r>
        <w:t>Because two of these three responses rely on definitions,</w:t>
      </w:r>
      <w:r w:rsidR="00497771">
        <w:t xml:space="preserve"> it behooves us to choose definitions that we can </w:t>
      </w:r>
      <w:proofErr w:type="gramStart"/>
      <w:r w:rsidR="00497771">
        <w:t>use, and</w:t>
      </w:r>
      <w:proofErr w:type="gramEnd"/>
      <w:r w:rsidR="00497771">
        <w:t xml:space="preserve"> can’t be used against us. Nothing hurts more than spending a minute and a half on a detailed, logical, well-impacted application, only for your opponent to kill it in fifteen seconds, using your own definition. That’s tough to come back from.</w:t>
      </w:r>
    </w:p>
    <w:p w14:paraId="718665B4" w14:textId="4FFDEF65" w:rsidR="002744EF" w:rsidRDefault="002744EF" w:rsidP="003021BD">
      <w:pPr>
        <w:pStyle w:val="Heading2"/>
      </w:pPr>
      <w:r>
        <w:t>Applications exemplify concepts</w:t>
      </w:r>
    </w:p>
    <w:p w14:paraId="0178ECE1" w14:textId="52DB1D6A" w:rsidR="002744EF" w:rsidRDefault="00497771" w:rsidP="006C2110">
      <w:r>
        <w:tab/>
        <w:t xml:space="preserve">Replacing value-centric debate with application-centric debate is one of my LD </w:t>
      </w:r>
      <w:proofErr w:type="gramStart"/>
      <w:r>
        <w:t>pet</w:t>
      </w:r>
      <w:proofErr w:type="gramEnd"/>
      <w:r>
        <w:t xml:space="preserve"> peeves. </w:t>
      </w:r>
      <w:r w:rsidR="00861DBB">
        <w:t>It’s</w:t>
      </w:r>
      <w:r w:rsidR="001B7B32">
        <w:t xml:space="preserve"> called Lincoln-Douglas </w:t>
      </w:r>
      <w:r w:rsidR="00FE4B1E" w:rsidRPr="00FE4B1E">
        <w:t>V</w:t>
      </w:r>
      <w:r w:rsidR="00FE4B1E">
        <w:t>ALUE</w:t>
      </w:r>
      <w:r w:rsidR="001B7B32" w:rsidRPr="00FE4B1E">
        <w:rPr>
          <w:i/>
          <w:iCs/>
        </w:rPr>
        <w:t xml:space="preserve"> </w:t>
      </w:r>
      <w:r w:rsidR="001B7B32">
        <w:t>debate, not Lincoln-Douglas APPLICATION debate</w:t>
      </w:r>
      <w:r w:rsidR="00861DBB">
        <w:t>,</w:t>
      </w:r>
      <w:r w:rsidR="001B7B32">
        <w:t xml:space="preserve"> because </w:t>
      </w:r>
      <w:r w:rsidR="00861DBB">
        <w:t>we determine what to value</w:t>
      </w:r>
      <w:r w:rsidR="001B7B32">
        <w:t xml:space="preserve"> </w:t>
      </w:r>
      <w:r w:rsidR="00861DBB">
        <w:t xml:space="preserve">through </w:t>
      </w:r>
      <w:r w:rsidR="001B7B32">
        <w:t xml:space="preserve">logical </w:t>
      </w:r>
      <w:r w:rsidR="00FE5815">
        <w:t xml:space="preserve">principles </w:t>
      </w:r>
      <w:r w:rsidR="00FE4B1E">
        <w:t xml:space="preserve">that are </w:t>
      </w:r>
      <w:r w:rsidR="001B7B32">
        <w:t xml:space="preserve">supported by, but not overshadowed by, </w:t>
      </w:r>
      <w:r w:rsidR="00FE5815">
        <w:t>real-world examples. This isn’t to say that applications are unimportant. They’re vital, because logic seem</w:t>
      </w:r>
      <w:r w:rsidR="00861DBB">
        <w:t>s</w:t>
      </w:r>
      <w:r w:rsidR="00FE5815">
        <w:t xml:space="preserve"> highly suspect if it’s never been played out in 6,000 years of human history. Howev</w:t>
      </w:r>
      <w:r w:rsidR="00861DBB">
        <w:t xml:space="preserve">er, </w:t>
      </w:r>
      <w:r w:rsidR="00FE5815">
        <w:t xml:space="preserve">applications </w:t>
      </w:r>
      <w:r w:rsidR="00861DBB">
        <w:t>should never</w:t>
      </w:r>
      <w:r w:rsidR="00FE5815">
        <w:t xml:space="preserve"> </w:t>
      </w:r>
      <w:r w:rsidR="00462178">
        <w:t xml:space="preserve">replace </w:t>
      </w:r>
      <w:r w:rsidR="00FE5815">
        <w:t>value-centric argumentation.</w:t>
      </w:r>
    </w:p>
    <w:p w14:paraId="3B9AB780" w14:textId="2638F47A" w:rsidR="00FE5815" w:rsidRPr="00B036C9" w:rsidRDefault="00FE5815" w:rsidP="006C2110">
      <w:pPr>
        <w:rPr>
          <w:i/>
          <w:iCs/>
        </w:rPr>
      </w:pPr>
      <w:r>
        <w:tab/>
        <w:t xml:space="preserve">If your opponent </w:t>
      </w:r>
      <w:r w:rsidR="00E1723D">
        <w:t xml:space="preserve">tries </w:t>
      </w:r>
      <w:r w:rsidR="00861DBB">
        <w:t>proving</w:t>
      </w:r>
      <w:r>
        <w:t xml:space="preserve"> his case</w:t>
      </w:r>
      <w:r w:rsidR="00861DBB">
        <w:t xml:space="preserve"> with applications,</w:t>
      </w:r>
      <w:r>
        <w:t xml:space="preserve"> there’s an effectiv</w:t>
      </w:r>
      <w:r w:rsidR="00861DBB">
        <w:t>e</w:t>
      </w:r>
      <w:r>
        <w:t xml:space="preserve"> counter. </w:t>
      </w:r>
      <w:r w:rsidR="00296065">
        <w:t>This is especially useful against debaters who try to set Guinness World Records for the most applications in an LD round, fail to discuss the principles of their case, and tout the sheer number o</w:t>
      </w:r>
      <w:r w:rsidR="00462178">
        <w:t>f applications</w:t>
      </w:r>
      <w:r w:rsidR="00296065">
        <w:t xml:space="preserve"> as grounds for victory (“Judge, I’ve given you eight applications</w:t>
      </w:r>
      <w:r w:rsidR="00861DBB">
        <w:t xml:space="preserve">, </w:t>
      </w:r>
      <w:r w:rsidR="00296065">
        <w:t xml:space="preserve">my opponent has only run </w:t>
      </w:r>
      <w:r w:rsidR="00861DBB">
        <w:t>two</w:t>
      </w:r>
      <w:r w:rsidR="00296065">
        <w:t xml:space="preserve">. That’s six reasons I deserve your ballot.”). In this situation, explain to the judge that in LD debate, we use values, not examples, because you cannot prove universality </w:t>
      </w:r>
      <w:r w:rsidR="00B036C9">
        <w:t xml:space="preserve">via anecdotal evidence. Applications are stories (or anecdotes, hence the name) about what happened in a </w:t>
      </w:r>
      <w:proofErr w:type="gramStart"/>
      <w:r w:rsidR="00B036C9">
        <w:t>particular situation</w:t>
      </w:r>
      <w:proofErr w:type="gramEnd"/>
      <w:r w:rsidR="00B036C9">
        <w:t xml:space="preserve">, they do not prove a general principle or support a general rule. If we were debating about whether we should value dogs or cats, an application about how </w:t>
      </w:r>
      <w:proofErr w:type="spellStart"/>
      <w:r w:rsidR="00B036C9">
        <w:t>Ol</w:t>
      </w:r>
      <w:proofErr w:type="spellEnd"/>
      <w:r w:rsidR="00B036C9">
        <w:t xml:space="preserve">’ Yeller was a great dog doesn’t prove we should value dogs more. But, an application about </w:t>
      </w:r>
      <w:proofErr w:type="spellStart"/>
      <w:r w:rsidR="00B036C9">
        <w:t>Ol</w:t>
      </w:r>
      <w:proofErr w:type="spellEnd"/>
      <w:r w:rsidR="00B036C9">
        <w:t xml:space="preserve">’ Yeller that supports the argument </w:t>
      </w:r>
      <w:r w:rsidR="00B036C9" w:rsidRPr="00B036C9">
        <w:rPr>
          <w:i/>
          <w:iCs/>
        </w:rPr>
        <w:t>“dogs should be valued above cats because dogs are loyal, and loyalty is the most important value when it comes to pets”</w:t>
      </w:r>
      <w:r w:rsidR="00B036C9">
        <w:t xml:space="preserve"> is a powerful piece of support. </w:t>
      </w:r>
    </w:p>
    <w:p w14:paraId="5EAE71B6" w14:textId="1A46CDE0" w:rsidR="00BC1CE6" w:rsidRDefault="00462178" w:rsidP="00462178">
      <w:pPr>
        <w:pStyle w:val="Heading1"/>
      </w:pPr>
      <w:r>
        <w:lastRenderedPageBreak/>
        <w:t xml:space="preserve">Part II: </w:t>
      </w:r>
      <w:r w:rsidR="0017121B">
        <w:t xml:space="preserve">Affirmative </w:t>
      </w:r>
      <w:r>
        <w:t xml:space="preserve">Applications </w:t>
      </w:r>
      <w:r w:rsidR="000D43E0">
        <w:tab/>
      </w:r>
    </w:p>
    <w:p w14:paraId="2954CB0B" w14:textId="0A905E77" w:rsidR="0017121B" w:rsidRDefault="0017121B" w:rsidP="0017121B">
      <w:r>
        <w:tab/>
        <w:t xml:space="preserve">As we learned in the Strategy Overview published two weeks ago, you can view this resolution from the perspective of a dominant culture (the one accepting new culture groups), </w:t>
      </w:r>
      <w:r w:rsidR="002E47B1">
        <w:t>a</w:t>
      </w:r>
      <w:r>
        <w:t xml:space="preserve"> minority culture (the new, usually incoming or conquered group), or both. Most of the applications here will focus on the “both” </w:t>
      </w:r>
      <w:proofErr w:type="gramStart"/>
      <w:r w:rsidR="002E47B1">
        <w:t>paradigm</w:t>
      </w:r>
      <w:proofErr w:type="gramEnd"/>
      <w:r>
        <w:t xml:space="preserve">, since cross-applicable applications will make the most efficient use of your </w:t>
      </w:r>
      <w:r w:rsidR="002E47B1">
        <w:t xml:space="preserve">reading </w:t>
      </w:r>
      <w:r>
        <w:t xml:space="preserve">time, dear reader. </w:t>
      </w:r>
      <w:r w:rsidR="002E47B1">
        <w:t xml:space="preserve">However, I will include a few applications that only work with the dominant or minority culture view, and I’ll specify which applications correspond to which paradigm. </w:t>
      </w:r>
    </w:p>
    <w:p w14:paraId="1B2DF01B" w14:textId="05A0B950" w:rsidR="0017121B" w:rsidRPr="0017121B" w:rsidRDefault="001115A6" w:rsidP="0017121B">
      <w:pPr>
        <w:pStyle w:val="Heading2"/>
      </w:pPr>
      <w:r>
        <w:t>America (</w:t>
      </w:r>
      <w:r w:rsidR="007F301B">
        <w:t>Conceptually) – “Both” Paradigm</w:t>
      </w:r>
    </w:p>
    <w:p w14:paraId="5291891E" w14:textId="2CC28D43" w:rsidR="001115A6" w:rsidRDefault="009F5CE7" w:rsidP="00CB5A28">
      <w:pPr>
        <w:ind w:firstLine="720"/>
      </w:pPr>
      <w:r>
        <w:t>The U.S. can be both a positive and negativ</w:t>
      </w:r>
      <w:r w:rsidR="00CB5A28">
        <w:t>e</w:t>
      </w:r>
      <w:r>
        <w:t xml:space="preserve"> application for the affirmative (it shows why assimilation is good and why multiculturalism is bad). Some of our worst moments as a nation</w:t>
      </w:r>
      <w:r w:rsidR="00CB5A28">
        <w:t>:</w:t>
      </w:r>
      <w:r>
        <w:t xml:space="preserve"> slavery, segregation, the Trail of Tears, Japanese internment camps </w:t>
      </w:r>
      <w:r w:rsidR="00CB5A28">
        <w:t xml:space="preserve">– all of which can be run as individual applications – </w:t>
      </w:r>
      <w:r>
        <w:t>were the result of multiculturalism in its worst forms, as enforced by the dominant culture. Some of our greatest accomplishments</w:t>
      </w:r>
      <w:r w:rsidR="00CB5A28">
        <w:t xml:space="preserve">: </w:t>
      </w:r>
      <w:proofErr w:type="gramStart"/>
      <w:r>
        <w:t>the</w:t>
      </w:r>
      <w:proofErr w:type="gramEnd"/>
      <w:r>
        <w:t xml:space="preserve"> Bill of Rights, the Emancipation Proclamation, the Reconstruction Amendments, the Civil Rights Act </w:t>
      </w:r>
      <w:r w:rsidR="00CB5A28">
        <w:t>– which are also complex enough to form individual applications –</w:t>
      </w:r>
      <w:r>
        <w:t xml:space="preserve"> all reflect our shared national commitment to equality, unity, and freedom. America is the Great Melting Pot, the place where</w:t>
      </w:r>
      <w:r w:rsidR="001115A6">
        <w:t xml:space="preserve"> everyone, no matter what culture they come from, is simply an American. A study published in 2017 by the Stanford Institute for Economic Policy Research had this to say</w:t>
      </w:r>
      <w:r w:rsidR="00BD3A7D">
        <w:t xml:space="preserve"> about American assimilation</w:t>
      </w:r>
      <w:r w:rsidR="001115A6">
        <w:t>:</w:t>
      </w:r>
    </w:p>
    <w:p w14:paraId="117F8235" w14:textId="1DE36DE8" w:rsidR="00AD130D" w:rsidRDefault="001115A6" w:rsidP="00AD130D">
      <w:pPr>
        <w:jc w:val="center"/>
        <w:rPr>
          <w:i/>
          <w:iCs/>
        </w:rPr>
      </w:pPr>
      <w:r>
        <w:rPr>
          <w:i/>
          <w:iCs/>
        </w:rPr>
        <w:t>“</w:t>
      </w:r>
      <w:r w:rsidRPr="001115A6">
        <w:rPr>
          <w:i/>
          <w:iCs/>
        </w:rPr>
        <w:t>For example, people with names like Hyman or Vito were almost certain to be children of immigrants, while youngsters with names like Clay or Lowell were likely to have native parents. In this respect, children’s names are signals of cultural identity. Giving a child an American-sounding name is a financially cost-free way of identifying with U.S. culture…Our key finding is that for immigrants who arrived in the 1900s and 1910s, the more time they spent in the U.S., the less likely they were to give their children foreign-sounding names….after 20 years in this country, half of the gap in name choice between immigrants and natives had disappeared.</w:t>
      </w:r>
      <w:r>
        <w:rPr>
          <w:i/>
          <w:iCs/>
        </w:rPr>
        <w:t>”</w:t>
      </w:r>
      <w:r>
        <w:rPr>
          <w:rStyle w:val="FootnoteReference"/>
          <w:i/>
          <w:iCs/>
        </w:rPr>
        <w:footnoteReference w:id="1"/>
      </w:r>
    </w:p>
    <w:p w14:paraId="38FC12EE" w14:textId="359A80CA" w:rsidR="00AD130D" w:rsidRDefault="00AD130D" w:rsidP="00AD130D">
      <w:pPr>
        <w:pStyle w:val="Heading2"/>
      </w:pPr>
      <w:r>
        <w:t xml:space="preserve">America (Educationally and Politically) </w:t>
      </w:r>
      <w:r>
        <w:t>- “Both” Paradigm</w:t>
      </w:r>
    </w:p>
    <w:p w14:paraId="034B8440" w14:textId="1DF421F0" w:rsidR="00AD130D" w:rsidRDefault="00AD130D" w:rsidP="00AD130D">
      <w:r>
        <w:tab/>
        <w:t>To further this point</w:t>
      </w:r>
      <w:r w:rsidR="00F45A3B">
        <w:t xml:space="preserve"> about America’s underlying commitment to assimilation</w:t>
      </w:r>
      <w:r>
        <w:t xml:space="preserve">, </w:t>
      </w:r>
      <w:r w:rsidR="00F45A3B">
        <w:t>Harvard Ph.D. in government Mark Lilla (a self-proclaimed liberal) spoke out against the recent fixation on multiculturalism in education. He argues that the celebration of diverse and separate cultures creates people who cannot look outside of their own enclaves, and that this costs America a political price:</w:t>
      </w:r>
    </w:p>
    <w:p w14:paraId="690C7B22" w14:textId="39CFB774" w:rsidR="00AD130D" w:rsidRPr="00AD130D" w:rsidRDefault="00F45A3B" w:rsidP="00AD130D">
      <w:pPr>
        <w:jc w:val="center"/>
        <w:rPr>
          <w:i/>
          <w:iCs/>
        </w:rPr>
      </w:pPr>
      <w:r>
        <w:rPr>
          <w:i/>
          <w:iCs/>
          <w:shd w:val="clear" w:color="auto" w:fill="FFFFFF"/>
        </w:rPr>
        <w:lastRenderedPageBreak/>
        <w:t>“…</w:t>
      </w:r>
      <w:r w:rsidR="00AD130D" w:rsidRPr="00AD130D">
        <w:rPr>
          <w:i/>
          <w:iCs/>
          <w:shd w:val="clear" w:color="auto" w:fill="FFFFFF"/>
        </w:rPr>
        <w:t xml:space="preserve">the fixation on diversity in our schools and in the press has produced a generation of liberals and progressives narcissistically unaware of conditions outside their self-defined groups, and indifferent to the task of reaching out to Americans in every walk of life. At a very young age our children are being encouraged to talk about their individual identities, even before they have them. By the time they reach college many assume that diversity discourse exhausts political </w:t>
      </w:r>
      <w:proofErr w:type="gramStart"/>
      <w:r w:rsidR="00AD130D" w:rsidRPr="00AD130D">
        <w:rPr>
          <w:i/>
          <w:iCs/>
          <w:shd w:val="clear" w:color="auto" w:fill="FFFFFF"/>
        </w:rPr>
        <w:t>discourse, and</w:t>
      </w:r>
      <w:proofErr w:type="gramEnd"/>
      <w:r w:rsidR="00AD130D" w:rsidRPr="00AD130D">
        <w:rPr>
          <w:i/>
          <w:iCs/>
          <w:shd w:val="clear" w:color="auto" w:fill="FFFFFF"/>
        </w:rPr>
        <w:t xml:space="preserve"> have shockingly little to say about such perennial questions as class, war, the economy and the common good. In large part this is because of high school history curriculums, which anachronistically project the identity politics of today back onto the past, creating a distorted picture of the major forces and individuals that shaped our country. (The achievements of women’s rights movements, for instance, were real and important, but you cannot understand them if you do not first understand the founding fathers’ achievement in establishing a system of government based on the guarantee of rights.)</w:t>
      </w:r>
      <w:r>
        <w:rPr>
          <w:i/>
          <w:iCs/>
          <w:shd w:val="clear" w:color="auto" w:fill="FFFFFF"/>
        </w:rPr>
        <w:t>”</w:t>
      </w:r>
      <w:r>
        <w:rPr>
          <w:rStyle w:val="FootnoteReference"/>
          <w:i/>
          <w:iCs/>
          <w:shd w:val="clear" w:color="auto" w:fill="FFFFFF"/>
        </w:rPr>
        <w:footnoteReference w:id="2"/>
      </w:r>
    </w:p>
    <w:p w14:paraId="39CB9C1D" w14:textId="6911C055" w:rsidR="007F301B" w:rsidRDefault="007F301B" w:rsidP="007F301B">
      <w:pPr>
        <w:pStyle w:val="Heading2"/>
      </w:pPr>
      <w:r>
        <w:t>America (Economically) - “Both” Paradigm</w:t>
      </w:r>
    </w:p>
    <w:p w14:paraId="7A7D484F" w14:textId="4A00368A" w:rsidR="001115A6" w:rsidRDefault="002032F3" w:rsidP="009F5CE7">
      <w:pPr>
        <w:ind w:firstLine="720"/>
      </w:pPr>
      <w:r>
        <w:t>To add to the persuasive power of our national tendency towards assimilation, the economic benefits</w:t>
      </w:r>
      <w:r w:rsidR="007F301B">
        <w:t xml:space="preserve"> to both our dominant culture</w:t>
      </w:r>
      <w:r w:rsidR="00BD3A7D">
        <w:t>,</w:t>
      </w:r>
      <w:r w:rsidR="007F301B">
        <w:t xml:space="preserve"> and incoming minority cultures,</w:t>
      </w:r>
      <w:r>
        <w:t xml:space="preserve"> represent another reason to vote affirmative. The Atlantic reported in 2015 that:</w:t>
      </w:r>
    </w:p>
    <w:p w14:paraId="02A5C82E" w14:textId="3EB2037B" w:rsidR="00BD3A7D" w:rsidRPr="002032F3" w:rsidRDefault="002032F3" w:rsidP="00CB5A28">
      <w:pPr>
        <w:jc w:val="center"/>
        <w:rPr>
          <w:i/>
          <w:iCs/>
        </w:rPr>
      </w:pPr>
      <w:r>
        <w:rPr>
          <w:i/>
          <w:iCs/>
        </w:rPr>
        <w:t>“</w:t>
      </w:r>
      <w:r w:rsidR="00BB076D" w:rsidRPr="002032F3">
        <w:rPr>
          <w:i/>
          <w:iCs/>
        </w:rPr>
        <w:t>Immigrants tend to contribute more to the economy once they’ve learned English and become citizens. A few cities—notably, New York—have a long history of ushering immigrants into the mainstream society and economy</w:t>
      </w:r>
      <w:r w:rsidRPr="002032F3">
        <w:rPr>
          <w:i/>
          <w:iCs/>
        </w:rPr>
        <w:t>…</w:t>
      </w:r>
      <w:r w:rsidR="00BB076D" w:rsidRPr="002032F3">
        <w:rPr>
          <w:i/>
          <w:iCs/>
        </w:rPr>
        <w:t>The foreign-born population in the Nashville metropolitan area has more than doubled since 2000; immigrants accounted for three-fifths of the city’s population growth between 2000 and 2012, and now constitute an eighth of all Nashville residents</w:t>
      </w:r>
      <w:r w:rsidRPr="002032F3">
        <w:rPr>
          <w:i/>
          <w:iCs/>
        </w:rPr>
        <w:t>…</w:t>
      </w:r>
      <w:r w:rsidR="00BB076D" w:rsidRPr="002032F3">
        <w:rPr>
          <w:i/>
          <w:iCs/>
        </w:rPr>
        <w:t>They’ve been drawn to Nashville’s booming economy, which has ranked among the fastest-growing in the nation in recent years. But they’re not only benefiting from the local prosperity—they’re contributing to it. Immigrants are twice as likely as native-born Nashville residents to start their own small businesses, according to data compiled by the Partnership for a New American Economy. They also play an outsized role in important local industries, including construction, health care, and hotels</w:t>
      </w:r>
      <w:r w:rsidR="00BB076D" w:rsidRPr="00BB076D">
        <w:t>.</w:t>
      </w:r>
      <w:r>
        <w:rPr>
          <w:i/>
          <w:iCs/>
        </w:rPr>
        <w:t>”</w:t>
      </w:r>
      <w:r>
        <w:rPr>
          <w:rStyle w:val="FootnoteReference"/>
          <w:i/>
          <w:iCs/>
        </w:rPr>
        <w:footnoteReference w:id="3"/>
      </w:r>
    </w:p>
    <w:p w14:paraId="42F51037" w14:textId="004E6DED" w:rsidR="00611158" w:rsidRDefault="00611158" w:rsidP="002D07C1">
      <w:pPr>
        <w:pStyle w:val="Heading2"/>
      </w:pPr>
      <w:r>
        <w:t>England (Identity and Reality) – “Both” Paradigm</w:t>
      </w:r>
    </w:p>
    <w:p w14:paraId="5BDBC5DB" w14:textId="188B58B2" w:rsidR="00611158" w:rsidRDefault="00611158" w:rsidP="00611158">
      <w:r>
        <w:tab/>
        <w:t>In some nations, especially those with high rates of immigration, multiculturalism has led to some shocking results. In Britain, Dame Louise Casey (Dame, here, is an honorific used in England to denote a rank of achievement, the same way they use the title “Sir”) was commissioned to conduct a study</w:t>
      </w:r>
      <w:r w:rsidR="00AD130D">
        <w:t xml:space="preserve"> on</w:t>
      </w:r>
      <w:r>
        <w:t xml:space="preserve"> the progress of assimilation in England. She </w:t>
      </w:r>
      <w:r w:rsidR="00AD130D">
        <w:t xml:space="preserve">found a mess. Assimilation was so undervalued </w:t>
      </w:r>
      <w:r w:rsidR="00AD130D">
        <w:lastRenderedPageBreak/>
        <w:t>that some minority cultures might as well have been living in their countries of origin. Dame Casey reported:</w:t>
      </w:r>
    </w:p>
    <w:p w14:paraId="541B40A5" w14:textId="4310C52B" w:rsidR="00611158" w:rsidRPr="00611158" w:rsidRDefault="00611158" w:rsidP="00611158">
      <w:pPr>
        <w:jc w:val="center"/>
        <w:rPr>
          <w:i/>
          <w:iCs/>
        </w:rPr>
      </w:pPr>
      <w:r w:rsidRPr="00611158">
        <w:rPr>
          <w:i/>
          <w:iCs/>
        </w:rPr>
        <w:t xml:space="preserve">Taken together, high ethnic minority concentration in residential areas and in schools increases the likelihood of children growing up without meeting or better understanding people from different backgrounds. One striking illustration of such segregation came from a non-faith state secondary school we visited where, in a survey they had conducted, pupils believed the population of Britain to be between 50% and 90% Asian, such had been their experience up to that point. Research examined during the review suggests that concentrations of ethnic communities can have both positive and negative effects, and that outcomes do not appear to be uniform for all groups. Ethnic concentration can improve bonding between people from similar backgrounds, particularly when they are new to an area, but it can also: </w:t>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sidRPr="00611158">
        <w:rPr>
          <w:i/>
          <w:iCs/>
        </w:rPr>
        <w:sym w:font="Symbol" w:char="F0B7"/>
      </w:r>
      <w:r w:rsidRPr="00611158">
        <w:rPr>
          <w:i/>
          <w:iCs/>
        </w:rPr>
        <w:t xml:space="preserve"> limit </w:t>
      </w:r>
      <w:proofErr w:type="spellStart"/>
      <w:r w:rsidRPr="00611158">
        <w:rPr>
          <w:i/>
          <w:iCs/>
        </w:rPr>
        <w:t>labour</w:t>
      </w:r>
      <w:proofErr w:type="spellEnd"/>
      <w:r w:rsidRPr="00611158">
        <w:rPr>
          <w:i/>
          <w:iCs/>
        </w:rPr>
        <w:t xml:space="preserve"> market opportunities, notably for Pakistani and Bangladeshi groups – although it appears to improve employment opportunities for Indian ethnic groups; </w:t>
      </w:r>
      <w:r>
        <w:rPr>
          <w:i/>
          <w:iCs/>
        </w:rPr>
        <w:tab/>
      </w:r>
      <w:r>
        <w:rPr>
          <w:i/>
          <w:iCs/>
        </w:rPr>
        <w:tab/>
        <w:t xml:space="preserve">                                             </w:t>
      </w:r>
      <w:r w:rsidRPr="00611158">
        <w:rPr>
          <w:i/>
          <w:iCs/>
        </w:rPr>
        <w:sym w:font="Symbol" w:char="F0B7"/>
      </w:r>
      <w:r w:rsidRPr="00611158">
        <w:rPr>
          <w:i/>
          <w:iCs/>
        </w:rPr>
        <w:t xml:space="preserve"> reduce opportunities for social ties between minority and White British communities; and </w:t>
      </w:r>
      <w:r>
        <w:rPr>
          <w:i/>
          <w:iCs/>
        </w:rPr>
        <w:tab/>
        <w:t xml:space="preserve">                   </w:t>
      </w:r>
      <w:r w:rsidRPr="00611158">
        <w:rPr>
          <w:i/>
          <w:iCs/>
        </w:rPr>
        <w:sym w:font="Symbol" w:char="F0B7"/>
      </w:r>
      <w:r w:rsidRPr="00611158">
        <w:rPr>
          <w:i/>
          <w:iCs/>
        </w:rPr>
        <w:t xml:space="preserve"> lead to lower identification with Britain and lower levels of trust between ethnic groups, compared to minorities living in more diverse areas.</w:t>
      </w:r>
      <w:r>
        <w:rPr>
          <w:i/>
          <w:iCs/>
        </w:rPr>
        <w:t>”</w:t>
      </w:r>
      <w:r>
        <w:rPr>
          <w:rStyle w:val="FootnoteReference"/>
          <w:i/>
          <w:iCs/>
        </w:rPr>
        <w:footnoteReference w:id="4"/>
      </w:r>
    </w:p>
    <w:p w14:paraId="60C471FC" w14:textId="1EFB3D5E" w:rsidR="00BD3A7D" w:rsidRDefault="00BD3A7D" w:rsidP="00BD3A7D">
      <w:pPr>
        <w:pStyle w:val="Heading1"/>
      </w:pPr>
      <w:r>
        <w:t>Part III: Negative Applications</w:t>
      </w:r>
    </w:p>
    <w:p w14:paraId="6CDA4FD3" w14:textId="4712C228" w:rsidR="00CB5A28" w:rsidRDefault="00CB5A28" w:rsidP="00CB5A28">
      <w:pPr>
        <w:pStyle w:val="Heading2"/>
      </w:pPr>
      <w:r>
        <w:t>America (Conceptually) – “Both” Paradigm</w:t>
      </w:r>
    </w:p>
    <w:p w14:paraId="35AF4C27" w14:textId="4184635A" w:rsidR="00CB5A28" w:rsidRDefault="00CB5A28" w:rsidP="00CB5A28">
      <w:pPr>
        <w:ind w:firstLine="720"/>
      </w:pPr>
      <w:r>
        <w:t xml:space="preserve">There’s a compelling argument that America is a multicultural nation. We’re all Americans, yes, but many of us are </w:t>
      </w:r>
      <w:proofErr w:type="gramStart"/>
      <w:r>
        <w:t>Irish-American</w:t>
      </w:r>
      <w:proofErr w:type="gramEnd"/>
      <w:r>
        <w:t xml:space="preserve">, Indian-American, Chinese-American, or, even among </w:t>
      </w:r>
      <w:r w:rsidR="00110239">
        <w:t xml:space="preserve">the </w:t>
      </w:r>
      <w:r>
        <w:t>native-born</w:t>
      </w:r>
      <w:r w:rsidR="00110239">
        <w:t xml:space="preserve">, African-American or Caucasian-American. It’s hard to argue that these groups are not culturally different, and it’s equally hard to argue that America’s commitment to free speech, free association, freedom of religion, and all-around freedom doesn’t support a multicultural nation. </w:t>
      </w:r>
    </w:p>
    <w:p w14:paraId="64E8A2B5" w14:textId="7272FCEE" w:rsidR="00110239" w:rsidRDefault="00110239" w:rsidP="00110239">
      <w:pPr>
        <w:pStyle w:val="Heading2"/>
      </w:pPr>
      <w:r>
        <w:t>America (Social Engagement) – “Both” Paradigm</w:t>
      </w:r>
    </w:p>
    <w:p w14:paraId="49920DF8" w14:textId="5B592D13" w:rsidR="00110239" w:rsidRDefault="00110239" w:rsidP="00110239">
      <w:pPr>
        <w:ind w:firstLine="720"/>
      </w:pPr>
      <w:r>
        <w:t xml:space="preserve">Moreover, it may be better for </w:t>
      </w:r>
      <w:r w:rsidR="00B27E28">
        <w:t>everyone involved to avoid</w:t>
      </w:r>
      <w:r>
        <w:t xml:space="preserve"> assimilation. </w:t>
      </w:r>
      <w:r w:rsidR="00EE1B05">
        <w:t>In 2007, the Manhattan Institute published a</w:t>
      </w:r>
      <w:r>
        <w:t xml:space="preserve"> book review of </w:t>
      </w:r>
      <w:r w:rsidR="00EE1B05" w:rsidRPr="00EE1B05">
        <w:rPr>
          <w:i/>
          <w:iCs/>
        </w:rPr>
        <w:t>Bowling Alone</w:t>
      </w:r>
      <w:r w:rsidR="00EE1B05">
        <w:t xml:space="preserve">, by </w:t>
      </w:r>
      <w:r>
        <w:t>Robert Putnam (a professor of public policy at Harvard’s Kennedy School of Government</w:t>
      </w:r>
      <w:r w:rsidR="00EE1B05">
        <w:t>). The book is not publicly available for free, but the Manhattan Institute gives us a peek at the contents:</w:t>
      </w:r>
    </w:p>
    <w:p w14:paraId="4DFA960D" w14:textId="0BCDA79A" w:rsidR="00110239" w:rsidRPr="00110239" w:rsidRDefault="00110239" w:rsidP="00110239">
      <w:pPr>
        <w:jc w:val="center"/>
        <w:rPr>
          <w:i/>
          <w:iCs/>
        </w:rPr>
      </w:pPr>
      <w:r>
        <w:rPr>
          <w:i/>
          <w:iCs/>
        </w:rPr>
        <w:t>“</w:t>
      </w:r>
      <w:r w:rsidRPr="00110239">
        <w:rPr>
          <w:i/>
          <w:iCs/>
        </w:rPr>
        <w:t xml:space="preserve">In the 41 sites Putnam studied in the U.S., he found that the more diverse the neighborhood, the less residents trust neighbors. This proved true in communities large and small, from big cities like Los </w:t>
      </w:r>
      <w:r w:rsidRPr="00110239">
        <w:rPr>
          <w:i/>
          <w:iCs/>
        </w:rPr>
        <w:lastRenderedPageBreak/>
        <w:t>Angeles, Chicago, Houston, and Boston to tiny Yakima, Washington, rural South Dakota, and the mountains of West Virginia. In diverse San Francisco and Los Angeles, about 30 percent of people say that they trust neighbors a lot. In ethnically homogeneous communities in the Dakotas, the figure is 70 percent to 80 percent.</w:t>
      </w:r>
    </w:p>
    <w:p w14:paraId="215B58E0" w14:textId="2A695A7A" w:rsidR="00110239" w:rsidRPr="00110239" w:rsidRDefault="00110239" w:rsidP="00110239">
      <w:pPr>
        <w:jc w:val="center"/>
        <w:rPr>
          <w:i/>
          <w:iCs/>
        </w:rPr>
      </w:pPr>
      <w:r w:rsidRPr="00110239">
        <w:rPr>
          <w:i/>
          <w:iCs/>
        </w:rPr>
        <w:t>Diversity does not produce “bad race relations,” Putnam says. Rather, people in diverse communities tend “to withdraw even from close friends, to expect the worst from their community and its leaders, to volunteer less, give less to charity and work on community projects less often, to register to vote less, to agitate for social reform </w:t>
      </w:r>
      <w:proofErr w:type="gramStart"/>
      <w:r w:rsidRPr="00110239">
        <w:rPr>
          <w:rFonts w:ascii="inherit" w:hAnsi="inherit"/>
          <w:i/>
          <w:iCs/>
          <w:bdr w:val="none" w:sz="0" w:space="0" w:color="auto" w:frame="1"/>
        </w:rPr>
        <w:t>more</w:t>
      </w:r>
      <w:r w:rsidRPr="00110239">
        <w:rPr>
          <w:i/>
          <w:iCs/>
        </w:rPr>
        <w:t>, but</w:t>
      </w:r>
      <w:proofErr w:type="gramEnd"/>
      <w:r w:rsidRPr="00110239">
        <w:rPr>
          <w:i/>
          <w:iCs/>
        </w:rPr>
        <w:t xml:space="preserve"> have less faith that they can actually make a difference, and to huddle unhappily in front of the television.” Putnam adds a crushing footnote: his findings “may </w:t>
      </w:r>
      <w:r w:rsidRPr="00110239">
        <w:rPr>
          <w:rFonts w:ascii="inherit" w:hAnsi="inherit"/>
          <w:i/>
          <w:iCs/>
          <w:bdr w:val="none" w:sz="0" w:space="0" w:color="auto" w:frame="1"/>
        </w:rPr>
        <w:t>underestimate</w:t>
      </w:r>
      <w:r w:rsidRPr="00110239">
        <w:rPr>
          <w:i/>
          <w:iCs/>
        </w:rPr>
        <w:t> the real effect of diversity on social withdrawal.”</w:t>
      </w:r>
      <w:r>
        <w:rPr>
          <w:i/>
          <w:iCs/>
        </w:rPr>
        <w:t>”</w:t>
      </w:r>
      <w:r>
        <w:rPr>
          <w:rStyle w:val="FootnoteReference"/>
          <w:i/>
          <w:iCs/>
        </w:rPr>
        <w:footnoteReference w:id="5"/>
      </w:r>
    </w:p>
    <w:p w14:paraId="33F8E427" w14:textId="2448B810" w:rsidR="00110239" w:rsidRDefault="00B27E28" w:rsidP="00B27E28">
      <w:pPr>
        <w:pStyle w:val="Heading2"/>
      </w:pPr>
      <w:r>
        <w:t>Australia and Canada (Economics) – Dominant Culture Paradigm</w:t>
      </w:r>
    </w:p>
    <w:p w14:paraId="14CA04C6" w14:textId="1D6B9202" w:rsidR="00B27E28" w:rsidRPr="00B27E28" w:rsidRDefault="00B27E28" w:rsidP="00B27E28">
      <w:r>
        <w:tab/>
        <w:t>Assimilationist countries don’t have a monopoly on economic gain. Eddie Ng, a Ph.D. professor of economics and business at Canada’s Dalhousie University, wrote in 2015 that:</w:t>
      </w:r>
    </w:p>
    <w:p w14:paraId="1126AD79" w14:textId="0EE45807" w:rsidR="00BD3A7D" w:rsidRPr="00AD130D" w:rsidRDefault="00B27E28" w:rsidP="00AD130D">
      <w:pPr>
        <w:jc w:val="center"/>
        <w:rPr>
          <w:i/>
          <w:iCs/>
        </w:rPr>
      </w:pPr>
      <w:r>
        <w:rPr>
          <w:i/>
          <w:iCs/>
          <w:shd w:val="clear" w:color="auto" w:fill="FFFFFF"/>
        </w:rPr>
        <w:t>“</w:t>
      </w:r>
      <w:r w:rsidRPr="00B27E28">
        <w:rPr>
          <w:i/>
          <w:iCs/>
          <w:shd w:val="clear" w:color="auto" w:fill="FFFFFF"/>
        </w:rPr>
        <w:t>Australia and Canada have successfully promoted multiculturalism to convey a climate of tolerance and inclusion to attract skilled workers.  As a result, both countries saw an influx of talents, foreign capital, and international students helpful in bolstering their economies.  Immigrants also retain transnational ties with their countries of origin which are conducive to promoting trade and international business between their countries of origin and new countries of residence.  As an example, Canadian export is projected to grow by 10% annually simply by matching exports to countries represented by its immigrants’ countries of origin.</w:t>
      </w:r>
      <w:r>
        <w:rPr>
          <w:i/>
          <w:iCs/>
          <w:shd w:val="clear" w:color="auto" w:fill="FFFFFF"/>
        </w:rPr>
        <w:t>”</w:t>
      </w:r>
      <w:r>
        <w:rPr>
          <w:rStyle w:val="FootnoteReference"/>
          <w:i/>
          <w:iCs/>
          <w:shd w:val="clear" w:color="auto" w:fill="FFFFFF"/>
        </w:rPr>
        <w:footnoteReference w:id="6"/>
      </w:r>
    </w:p>
    <w:p w14:paraId="4179EC00" w14:textId="78BAD055" w:rsidR="00BD3A7D" w:rsidRDefault="00BD3A7D" w:rsidP="00BD3A7D">
      <w:pPr>
        <w:pStyle w:val="Heading1"/>
      </w:pPr>
      <w:r>
        <w:t>Part IV: Applications That Muddy the Waters</w:t>
      </w:r>
    </w:p>
    <w:p w14:paraId="31D753C0" w14:textId="789CCC19" w:rsidR="006E0F46" w:rsidRDefault="006E0F46" w:rsidP="006E0F46">
      <w:pPr>
        <w:pStyle w:val="Heading2"/>
      </w:pPr>
      <w:r>
        <w:t xml:space="preserve">Canada’s Assimilation </w:t>
      </w:r>
      <w:r w:rsidR="000F5574">
        <w:t>into Multiculturalism</w:t>
      </w:r>
    </w:p>
    <w:p w14:paraId="77FCC9E8" w14:textId="7B5B45C3" w:rsidR="006E0F46" w:rsidRPr="006E0F46" w:rsidRDefault="006E0F46" w:rsidP="006E0F46">
      <w:pPr>
        <w:ind w:firstLine="720"/>
      </w:pPr>
      <w:r>
        <w:t xml:space="preserve">Sometimes, assimilation into a culture </w:t>
      </w:r>
      <w:bookmarkStart w:id="0" w:name="_GoBack"/>
      <w:bookmarkEnd w:id="0"/>
      <w:r>
        <w:t>means embracing multiculturalism. A spectacular example comes from a Canadian social researcher and a Senator from Ontario, who wrote this in a 2018 op-ed published in the Globe and Mail.</w:t>
      </w:r>
    </w:p>
    <w:p w14:paraId="431C1C61" w14:textId="66281A7F" w:rsidR="006E0F46" w:rsidRDefault="00BD3A7D" w:rsidP="00B27E28">
      <w:pPr>
        <w:jc w:val="center"/>
        <w:rPr>
          <w:i/>
          <w:iCs/>
        </w:rPr>
      </w:pPr>
      <w:r>
        <w:rPr>
          <w:i/>
          <w:iCs/>
        </w:rPr>
        <w:t>“</w:t>
      </w:r>
      <w:r w:rsidRPr="00BD3A7D">
        <w:rPr>
          <w:i/>
          <w:iCs/>
        </w:rPr>
        <w:t xml:space="preserve">The architects of the original policy framework of multiculturalism might not have anticipated that it would become so central to the national identity, or so deeply embraced by people whose ancestors fit easily into old, colonial ideas of monocultural or bicultural Canada. But while they might not have </w:t>
      </w:r>
      <w:r w:rsidRPr="00BD3A7D">
        <w:rPr>
          <w:i/>
          <w:iCs/>
        </w:rPr>
        <w:lastRenderedPageBreak/>
        <w:t>foreseen the exact contours of contemporary Canada, they did understand the importance of a strong social fabric. Canadian multiculturalism has always aimed at integration, not fragmentation. Three of the four original pillars of the policy focused on participation and inclusion, while only one committed to supporting groups’ efforts to sustain their heritage cultures.</w:t>
      </w:r>
      <w:r>
        <w:rPr>
          <w:i/>
          <w:iCs/>
        </w:rPr>
        <w:t>”</w:t>
      </w:r>
      <w:r w:rsidR="006E0F46">
        <w:rPr>
          <w:rStyle w:val="FootnoteReference"/>
          <w:i/>
          <w:iCs/>
        </w:rPr>
        <w:footnoteReference w:id="7"/>
      </w:r>
    </w:p>
    <w:p w14:paraId="37A95DED" w14:textId="47A29432" w:rsidR="00BD3A7D" w:rsidRPr="00BD3A7D" w:rsidRDefault="006E0F46" w:rsidP="006E0F46">
      <w:pPr>
        <w:pStyle w:val="Heading2"/>
      </w:pPr>
      <w:r>
        <w:t>America’s Backfiring Assimilation Efforts</w:t>
      </w:r>
    </w:p>
    <w:p w14:paraId="5F593AFB" w14:textId="311D5784" w:rsidR="00BB076D" w:rsidRDefault="006E0F46" w:rsidP="009F5CE7">
      <w:pPr>
        <w:ind w:firstLine="720"/>
      </w:pPr>
      <w:r>
        <w:t xml:space="preserve">When it comes to assimilation, we don’t have a perfect record in the U.S., even when we’re trying our best. Vicki </w:t>
      </w:r>
      <w:proofErr w:type="spellStart"/>
      <w:r>
        <w:t>Fouka</w:t>
      </w:r>
      <w:proofErr w:type="spellEnd"/>
      <w:r>
        <w:t>, a Ph.D. in Economics and a</w:t>
      </w:r>
      <w:r w:rsidR="00CB5A28">
        <w:t xml:space="preserve">n assistant professor of Political Science at Stanford, wrote this in the abstract of a 2019 paper published by Oxford University Press: </w:t>
      </w:r>
    </w:p>
    <w:p w14:paraId="7EBF27E6" w14:textId="49B18AEF" w:rsidR="00BB076D" w:rsidRDefault="006E0F46" w:rsidP="006E0F46">
      <w:pPr>
        <w:ind w:firstLine="720"/>
        <w:jc w:val="center"/>
        <w:rPr>
          <w:i/>
          <w:iCs/>
        </w:rPr>
      </w:pPr>
      <w:r>
        <w:rPr>
          <w:i/>
          <w:iCs/>
        </w:rPr>
        <w:t>“</w:t>
      </w:r>
      <w:r w:rsidR="00BB076D" w:rsidRPr="006E0F46">
        <w:rPr>
          <w:i/>
          <w:iCs/>
        </w:rPr>
        <w:t>This article examines how a specific assimilation policy—language restrictions in elementary school—affects integration and identification with the host country later in life. After World War I, several U.S. states barred the German language from their schools. Affected individuals were less likely to volunteer in World War II and more likely to marry within their ethnic group and to choose decidedly German names for their offspring. Rather than facilitating the assimilation of immigrant children, the policy instigated a backlash, heightening the sense of cultural identity among the minority.</w:t>
      </w:r>
      <w:r>
        <w:rPr>
          <w:i/>
          <w:iCs/>
        </w:rPr>
        <w:t>”</w:t>
      </w:r>
      <w:r>
        <w:rPr>
          <w:rStyle w:val="FootnoteReference"/>
          <w:i/>
          <w:iCs/>
        </w:rPr>
        <w:footnoteReference w:id="8"/>
      </w:r>
    </w:p>
    <w:p w14:paraId="6B5B7911" w14:textId="08D5A128" w:rsidR="00CC3C3F" w:rsidRDefault="00CC3C3F" w:rsidP="00CC3C3F">
      <w:pPr>
        <w:rPr>
          <w:shd w:val="clear" w:color="auto" w:fill="FFFFFF"/>
        </w:rPr>
      </w:pPr>
      <w:r>
        <w:rPr>
          <w:shd w:val="clear" w:color="auto" w:fill="FFFFFF"/>
        </w:rPr>
        <w:t>This isn’t an uncommon outcome. Paradoxically, the best way to aid assimilation may be to value multiculturalism. Eddie Ng once again tell us that:</w:t>
      </w:r>
    </w:p>
    <w:p w14:paraId="47540C11" w14:textId="2F4076E4" w:rsidR="00B27E28" w:rsidRPr="00B27E28" w:rsidRDefault="00B27E28" w:rsidP="00B27E28">
      <w:pPr>
        <w:jc w:val="center"/>
        <w:rPr>
          <w:i/>
          <w:iCs/>
          <w:shd w:val="clear" w:color="auto" w:fill="FFFFFF"/>
        </w:rPr>
      </w:pPr>
      <w:r>
        <w:rPr>
          <w:i/>
          <w:iCs/>
          <w:shd w:val="clear" w:color="auto" w:fill="FFFFFF"/>
        </w:rPr>
        <w:t>“</w:t>
      </w:r>
      <w:r w:rsidRPr="00B27E28">
        <w:rPr>
          <w:i/>
          <w:iCs/>
          <w:shd w:val="clear" w:color="auto" w:fill="FFFFFF"/>
        </w:rPr>
        <w:t>In general, countries that embrace multiculturalism report more positive outcomes in the form of better integration of ethnic minority immigrants. Conversely, societies that demand immigrants to assimilate report poorer ethnic minority integration and experience backlash from its citizens.  For multiculturalism to be effective, assimilationist societies must be prepared to change elite and public attitudes and implement policies that do not produce backlash among the native-born majority population.</w:t>
      </w:r>
      <w:r>
        <w:rPr>
          <w:i/>
          <w:iCs/>
          <w:shd w:val="clear" w:color="auto" w:fill="FFFFFF"/>
        </w:rPr>
        <w:t>”</w:t>
      </w:r>
      <w:r>
        <w:rPr>
          <w:rStyle w:val="FootnoteReference"/>
          <w:i/>
          <w:iCs/>
          <w:shd w:val="clear" w:color="auto" w:fill="FFFFFF"/>
        </w:rPr>
        <w:footnoteReference w:id="9"/>
      </w:r>
    </w:p>
    <w:p w14:paraId="66AAF3B3" w14:textId="0B153159" w:rsidR="00B27E28" w:rsidRDefault="00F45A3B" w:rsidP="00F45A3B">
      <w:pPr>
        <w:pStyle w:val="Heading1"/>
      </w:pPr>
      <w:r>
        <w:t>In Conclusion</w:t>
      </w:r>
    </w:p>
    <w:p w14:paraId="4712CF6D" w14:textId="6EC744CC" w:rsidR="00F45A3B" w:rsidRPr="00F45A3B" w:rsidRDefault="00E1723D" w:rsidP="00F45A3B">
      <w:r>
        <w:t>Hopefully this</w:t>
      </w:r>
      <w:r w:rsidR="00F45A3B">
        <w:t xml:space="preserve"> </w:t>
      </w:r>
      <w:r>
        <w:t>piece</w:t>
      </w:r>
      <w:r w:rsidR="00F45A3B">
        <w:t xml:space="preserve"> has helped you </w:t>
      </w:r>
      <w:r>
        <w:t>conceptualize</w:t>
      </w:r>
      <w:r w:rsidR="00F45A3B">
        <w:t xml:space="preserve"> the resolution in new and productive </w:t>
      </w:r>
      <w:proofErr w:type="gramStart"/>
      <w:r w:rsidR="00F45A3B">
        <w:t>ways, and</w:t>
      </w:r>
      <w:proofErr w:type="gramEnd"/>
      <w:r w:rsidR="00F45A3B">
        <w:t xml:space="preserve"> </w:t>
      </w:r>
      <w:r>
        <w:t>provided</w:t>
      </w:r>
      <w:r w:rsidR="00F45A3B">
        <w:t xml:space="preserve"> some</w:t>
      </w:r>
      <w:r>
        <w:t xml:space="preserve"> new</w:t>
      </w:r>
      <w:r w:rsidR="00F45A3B">
        <w:t xml:space="preserve"> </w:t>
      </w:r>
      <w:r>
        <w:t>avenues to research. Keep up the good work, and may you prosper in competition.</w:t>
      </w:r>
    </w:p>
    <w:sectPr w:rsidR="00F45A3B" w:rsidRPr="00F45A3B" w:rsidSect="00D97850">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7B9CF" w14:textId="77777777" w:rsidR="00611158" w:rsidRDefault="00611158" w:rsidP="00DB7B76">
      <w:pPr>
        <w:spacing w:after="0" w:line="240" w:lineRule="auto"/>
      </w:pPr>
      <w:r>
        <w:separator/>
      </w:r>
    </w:p>
  </w:endnote>
  <w:endnote w:type="continuationSeparator" w:id="0">
    <w:p w14:paraId="467B52EC" w14:textId="77777777" w:rsidR="00611158" w:rsidRDefault="00611158"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Helvetica">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D4171" w14:textId="46BDC2D6" w:rsidR="00611158" w:rsidRPr="00A84C0B" w:rsidRDefault="00611158"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7</w:t>
    </w:r>
    <w:r w:rsidRPr="0018486A">
      <w:rPr>
        <w:b/>
      </w:rPr>
      <w:fldChar w:fldCharType="end"/>
    </w:r>
    <w:r w:rsidRPr="0018486A">
      <w:t xml:space="preserve"> of </w:t>
    </w:r>
    <w:fldSimple w:instr=" NUMPAGES ">
      <w:r>
        <w:rPr>
          <w:noProof/>
        </w:rPr>
        <w:t>7</w:t>
      </w:r>
    </w:fldSimple>
    <w:r>
      <w:tab/>
    </w:r>
    <w:r w:rsidRPr="0018486A">
      <w:rPr>
        <w:sz w:val="18"/>
        <w:szCs w:val="18"/>
      </w:rPr>
      <w:t xml:space="preserve"> </w:t>
    </w:r>
    <w:r>
      <w:rPr>
        <w:sz w:val="18"/>
        <w:szCs w:val="18"/>
      </w:rPr>
      <w:t>MonumentPublishing.com</w:t>
    </w:r>
  </w:p>
  <w:p w14:paraId="438C2703" w14:textId="3B4AA14A" w:rsidR="00611158" w:rsidRPr="00A84C0B" w:rsidRDefault="00611158"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20</w:t>
    </w:r>
    <w:r w:rsidRPr="00B441D5">
      <w:rPr>
        <w:i/>
        <w:sz w:val="15"/>
        <w:szCs w:val="15"/>
      </w:rPr>
      <w:t xml:space="preserve"> (201</w:t>
    </w:r>
    <w:r>
      <w:rPr>
        <w:i/>
        <w:sz w:val="15"/>
        <w:szCs w:val="15"/>
      </w:rPr>
      <w:t>9</w:t>
    </w:r>
    <w:r w:rsidRPr="00B441D5">
      <w:rPr>
        <w:i/>
        <w:sz w:val="15"/>
        <w:szCs w:val="15"/>
      </w:rPr>
      <w:t>-20</w:t>
    </w:r>
    <w:r>
      <w:rPr>
        <w:i/>
        <w:sz w:val="15"/>
        <w:szCs w:val="15"/>
      </w:rPr>
      <w:t>20</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491361" w14:textId="77777777" w:rsidR="00611158" w:rsidRDefault="00611158" w:rsidP="00DB7B76">
      <w:pPr>
        <w:spacing w:after="0" w:line="240" w:lineRule="auto"/>
      </w:pPr>
      <w:r>
        <w:separator/>
      </w:r>
    </w:p>
  </w:footnote>
  <w:footnote w:type="continuationSeparator" w:id="0">
    <w:p w14:paraId="666BACC9" w14:textId="77777777" w:rsidR="00611158" w:rsidRDefault="00611158" w:rsidP="00DB7B76">
      <w:pPr>
        <w:spacing w:after="0" w:line="240" w:lineRule="auto"/>
      </w:pPr>
      <w:r>
        <w:continuationSeparator/>
      </w:r>
    </w:p>
  </w:footnote>
  <w:footnote w:id="1">
    <w:p w14:paraId="374B215C" w14:textId="2A64C455" w:rsidR="00611158" w:rsidRPr="001115A6" w:rsidRDefault="00611158" w:rsidP="001115A6">
      <w:pPr>
        <w:pStyle w:val="Heading1"/>
        <w:shd w:val="clear" w:color="auto" w:fill="FFFFFF"/>
        <w:spacing w:before="0" w:line="240" w:lineRule="atLeast"/>
        <w:rPr>
          <w:rFonts w:cs="Times New Roman"/>
          <w:b w:val="0"/>
          <w:bCs/>
          <w:color w:val="0D0D0D" w:themeColor="text1" w:themeTint="F2"/>
          <w:spacing w:val="2"/>
          <w:sz w:val="18"/>
          <w:szCs w:val="18"/>
        </w:rPr>
      </w:pPr>
      <w:r w:rsidRPr="001115A6">
        <w:rPr>
          <w:rStyle w:val="FootnoteReference"/>
          <w:rFonts w:cs="Times New Roman"/>
          <w:b w:val="0"/>
          <w:bCs/>
          <w:color w:val="0D0D0D" w:themeColor="text1" w:themeTint="F2"/>
          <w:sz w:val="18"/>
          <w:szCs w:val="18"/>
        </w:rPr>
        <w:footnoteRef/>
      </w:r>
      <w:r w:rsidRPr="001115A6">
        <w:rPr>
          <w:rFonts w:cs="Times New Roman"/>
          <w:b w:val="0"/>
          <w:bCs/>
          <w:color w:val="0D0D0D" w:themeColor="text1" w:themeTint="F2"/>
          <w:sz w:val="18"/>
          <w:szCs w:val="18"/>
        </w:rPr>
        <w:t xml:space="preserve"> Ph.D. of Economics Ran </w:t>
      </w:r>
      <w:proofErr w:type="spellStart"/>
      <w:r w:rsidRPr="001115A6">
        <w:rPr>
          <w:rFonts w:cs="Times New Roman"/>
          <w:b w:val="0"/>
          <w:bCs/>
          <w:color w:val="0D0D0D" w:themeColor="text1" w:themeTint="F2"/>
          <w:sz w:val="18"/>
          <w:szCs w:val="18"/>
        </w:rPr>
        <w:t>Abramitsky</w:t>
      </w:r>
      <w:proofErr w:type="spellEnd"/>
      <w:r w:rsidRPr="001115A6">
        <w:rPr>
          <w:rFonts w:cs="Times New Roman"/>
          <w:b w:val="0"/>
          <w:bCs/>
          <w:color w:val="0D0D0D" w:themeColor="text1" w:themeTint="F2"/>
          <w:sz w:val="18"/>
          <w:szCs w:val="18"/>
        </w:rPr>
        <w:t>, 2017. “</w:t>
      </w:r>
      <w:r w:rsidRPr="001115A6">
        <w:rPr>
          <w:rFonts w:cs="Times New Roman"/>
          <w:b w:val="0"/>
          <w:bCs/>
          <w:color w:val="0D0D0D" w:themeColor="text1" w:themeTint="F2"/>
          <w:spacing w:val="2"/>
          <w:sz w:val="18"/>
          <w:szCs w:val="18"/>
        </w:rPr>
        <w:t>What history tells us about assimilation of immigrants”</w:t>
      </w:r>
      <w:r>
        <w:rPr>
          <w:rFonts w:cs="Times New Roman"/>
          <w:b w:val="0"/>
          <w:bCs/>
          <w:color w:val="0D0D0D" w:themeColor="text1" w:themeTint="F2"/>
          <w:spacing w:val="2"/>
          <w:sz w:val="18"/>
          <w:szCs w:val="18"/>
        </w:rPr>
        <w:t xml:space="preserve">; Stanford Institute for Economic Policy Research. </w:t>
      </w:r>
      <w:hyperlink r:id="rId1" w:history="1">
        <w:r w:rsidRPr="001D596C">
          <w:rPr>
            <w:rStyle w:val="Hyperlink"/>
            <w:rFonts w:cs="Times New Roman"/>
            <w:b w:val="0"/>
            <w:bCs/>
            <w:sz w:val="18"/>
            <w:szCs w:val="18"/>
            <w14:textFill>
              <w14:solidFill>
                <w14:schemeClr w14:val="tx1">
                  <w14:lumMod w14:val="50000"/>
                  <w14:lumOff w14:val="50000"/>
                  <w14:lumMod w14:val="95000"/>
                  <w14:lumOff w14:val="5000"/>
                </w14:schemeClr>
              </w14:solidFill>
            </w14:textFill>
          </w:rPr>
          <w:t>https://siepr.stanford.edu/news/what-history-tells-us-about-assimilation-immigrants</w:t>
        </w:r>
      </w:hyperlink>
    </w:p>
  </w:footnote>
  <w:footnote w:id="2">
    <w:p w14:paraId="27592B89" w14:textId="296C0C04" w:rsidR="00F45A3B" w:rsidRPr="00F45A3B" w:rsidRDefault="00F45A3B" w:rsidP="00F45A3B">
      <w:pPr>
        <w:pStyle w:val="NoSpacing"/>
        <w:rPr>
          <w:color w:val="0D0D0D" w:themeColor="text1" w:themeTint="F2"/>
          <w:sz w:val="18"/>
          <w:szCs w:val="18"/>
        </w:rPr>
      </w:pPr>
      <w:r w:rsidRPr="00F45A3B">
        <w:rPr>
          <w:rStyle w:val="FootnoteReference"/>
          <w:color w:val="0D0D0D" w:themeColor="text1" w:themeTint="F2"/>
          <w:sz w:val="18"/>
          <w:szCs w:val="18"/>
        </w:rPr>
        <w:footnoteRef/>
      </w:r>
      <w:r w:rsidRPr="00F45A3B">
        <w:rPr>
          <w:color w:val="0D0D0D" w:themeColor="text1" w:themeTint="F2"/>
          <w:sz w:val="18"/>
          <w:szCs w:val="18"/>
        </w:rPr>
        <w:t xml:space="preserve"> Ph.D. Mark Lilla, Professor of Humanities at Columbia. Nov </w:t>
      </w:r>
      <w:proofErr w:type="gramStart"/>
      <w:r w:rsidRPr="00F45A3B">
        <w:rPr>
          <w:color w:val="0D0D0D" w:themeColor="text1" w:themeTint="F2"/>
          <w:sz w:val="18"/>
          <w:szCs w:val="18"/>
        </w:rPr>
        <w:t>18</w:t>
      </w:r>
      <w:proofErr w:type="gramEnd"/>
      <w:r w:rsidRPr="00F45A3B">
        <w:rPr>
          <w:color w:val="0D0D0D" w:themeColor="text1" w:themeTint="F2"/>
          <w:sz w:val="18"/>
          <w:szCs w:val="18"/>
        </w:rPr>
        <w:t xml:space="preserve"> 2016 “</w:t>
      </w:r>
      <w:r w:rsidRPr="00F45A3B">
        <w:rPr>
          <w:rStyle w:val="balancedheadline"/>
          <w:color w:val="0D0D0D" w:themeColor="text1" w:themeTint="F2"/>
          <w:sz w:val="18"/>
          <w:szCs w:val="18"/>
          <w:bdr w:val="none" w:sz="0" w:space="0" w:color="auto" w:frame="1"/>
        </w:rPr>
        <w:t>The End of Identity Liberalism</w:t>
      </w:r>
      <w:r w:rsidRPr="00F45A3B">
        <w:rPr>
          <w:rStyle w:val="balancedheadline"/>
          <w:color w:val="0D0D0D" w:themeColor="text1" w:themeTint="F2"/>
          <w:sz w:val="18"/>
          <w:szCs w:val="18"/>
          <w:bdr w:val="none" w:sz="0" w:space="0" w:color="auto" w:frame="1"/>
        </w:rPr>
        <w:t>”; The New York Times</w:t>
      </w:r>
    </w:p>
    <w:p w14:paraId="70BDA37F" w14:textId="0C8F5031" w:rsidR="00F45A3B" w:rsidRPr="00F45A3B" w:rsidRDefault="00F45A3B" w:rsidP="00F45A3B">
      <w:pPr>
        <w:pStyle w:val="NoSpacing"/>
        <w:rPr>
          <w:color w:val="0D0D0D" w:themeColor="text1" w:themeTint="F2"/>
          <w:sz w:val="18"/>
          <w:szCs w:val="18"/>
        </w:rPr>
      </w:pPr>
      <w:r w:rsidRPr="00F45A3B">
        <w:rPr>
          <w:color w:val="0D0D0D" w:themeColor="text1" w:themeTint="F2"/>
          <w:sz w:val="18"/>
          <w:szCs w:val="18"/>
          <w:u w:color="7F7F7F" w:themeColor="text1" w:themeTint="80"/>
        </w:rPr>
        <w:t xml:space="preserve"> </w:t>
      </w:r>
      <w:hyperlink r:id="rId2" w:history="1">
        <w:r w:rsidRPr="00F45A3B">
          <w:rPr>
            <w:rStyle w:val="Hyperlink"/>
            <w:color w:val="0D0D0D" w:themeColor="text1" w:themeTint="F2"/>
            <w:sz w:val="18"/>
            <w:szCs w:val="18"/>
          </w:rPr>
          <w:t>https://www.nytimes.com/2016/11/20/opinion/sunday/the-end-of-identity-liberalism.html</w:t>
        </w:r>
      </w:hyperlink>
    </w:p>
  </w:footnote>
  <w:footnote w:id="3">
    <w:p w14:paraId="1C4090C1" w14:textId="233E39B6" w:rsidR="00611158" w:rsidRPr="002032F3" w:rsidRDefault="00611158" w:rsidP="002032F3">
      <w:pPr>
        <w:pStyle w:val="Heading1"/>
        <w:spacing w:before="0" w:after="0"/>
        <w:rPr>
          <w:rFonts w:cs="Times New Roman"/>
          <w:b w:val="0"/>
          <w:bCs/>
          <w:color w:val="0D0D0D" w:themeColor="text1" w:themeTint="F2"/>
          <w:spacing w:val="-15"/>
          <w:sz w:val="18"/>
          <w:szCs w:val="18"/>
        </w:rPr>
      </w:pPr>
      <w:r w:rsidRPr="002032F3">
        <w:rPr>
          <w:rStyle w:val="FootnoteReference"/>
          <w:rFonts w:cs="Times New Roman"/>
          <w:b w:val="0"/>
          <w:bCs/>
          <w:color w:val="0D0D0D" w:themeColor="text1" w:themeTint="F2"/>
          <w:sz w:val="18"/>
          <w:szCs w:val="18"/>
        </w:rPr>
        <w:footnoteRef/>
      </w:r>
      <w:r w:rsidRPr="002032F3">
        <w:rPr>
          <w:rFonts w:cs="Times New Roman"/>
          <w:b w:val="0"/>
          <w:bCs/>
          <w:color w:val="0D0D0D" w:themeColor="text1" w:themeTint="F2"/>
          <w:sz w:val="18"/>
          <w:szCs w:val="18"/>
        </w:rPr>
        <w:t xml:space="preserve"> Ted </w:t>
      </w:r>
      <w:proofErr w:type="spellStart"/>
      <w:r w:rsidRPr="002032F3">
        <w:rPr>
          <w:rFonts w:cs="Times New Roman"/>
          <w:b w:val="0"/>
          <w:bCs/>
          <w:color w:val="0D0D0D" w:themeColor="text1" w:themeTint="F2"/>
          <w:sz w:val="18"/>
          <w:szCs w:val="18"/>
        </w:rPr>
        <w:t>Hesson</w:t>
      </w:r>
      <w:proofErr w:type="spellEnd"/>
      <w:r w:rsidRPr="002032F3">
        <w:rPr>
          <w:rFonts w:cs="Times New Roman"/>
          <w:b w:val="0"/>
          <w:bCs/>
          <w:color w:val="0D0D0D" w:themeColor="text1" w:themeTint="F2"/>
          <w:sz w:val="18"/>
          <w:szCs w:val="18"/>
        </w:rPr>
        <w:t xml:space="preserve">, </w:t>
      </w:r>
      <w:r>
        <w:rPr>
          <w:rFonts w:cs="Times New Roman"/>
          <w:b w:val="0"/>
          <w:bCs/>
          <w:color w:val="0D0D0D" w:themeColor="text1" w:themeTint="F2"/>
          <w:sz w:val="18"/>
          <w:szCs w:val="18"/>
        </w:rPr>
        <w:t xml:space="preserve">July </w:t>
      </w:r>
      <w:proofErr w:type="gramStart"/>
      <w:r>
        <w:rPr>
          <w:rFonts w:cs="Times New Roman"/>
          <w:b w:val="0"/>
          <w:bCs/>
          <w:color w:val="0D0D0D" w:themeColor="text1" w:themeTint="F2"/>
          <w:sz w:val="18"/>
          <w:szCs w:val="18"/>
        </w:rPr>
        <w:t>21</w:t>
      </w:r>
      <w:proofErr w:type="gramEnd"/>
      <w:r>
        <w:rPr>
          <w:rFonts w:cs="Times New Roman"/>
          <w:b w:val="0"/>
          <w:bCs/>
          <w:color w:val="0D0D0D" w:themeColor="text1" w:themeTint="F2"/>
          <w:sz w:val="18"/>
          <w:szCs w:val="18"/>
        </w:rPr>
        <w:t xml:space="preserve"> 2015. </w:t>
      </w:r>
      <w:proofErr w:type="gramStart"/>
      <w:r>
        <w:rPr>
          <w:rFonts w:cs="Times New Roman"/>
          <w:b w:val="0"/>
          <w:bCs/>
          <w:color w:val="0D0D0D" w:themeColor="text1" w:themeTint="F2"/>
          <w:sz w:val="18"/>
          <w:szCs w:val="18"/>
        </w:rPr>
        <w:t>“</w:t>
      </w:r>
      <w:proofErr w:type="gramEnd"/>
      <w:r w:rsidRPr="002032F3">
        <w:rPr>
          <w:rFonts w:cs="Times New Roman"/>
          <w:b w:val="0"/>
          <w:bCs/>
          <w:color w:val="0D0D0D" w:themeColor="text1" w:themeTint="F2"/>
          <w:spacing w:val="-15"/>
          <w:sz w:val="18"/>
          <w:szCs w:val="18"/>
        </w:rPr>
        <w:t>Why American Cities Are Fighting to Attract Immigrants</w:t>
      </w:r>
      <w:r>
        <w:rPr>
          <w:rFonts w:cs="Times New Roman"/>
          <w:b w:val="0"/>
          <w:bCs/>
          <w:color w:val="0D0D0D" w:themeColor="text1" w:themeTint="F2"/>
          <w:spacing w:val="-15"/>
          <w:sz w:val="18"/>
          <w:szCs w:val="18"/>
        </w:rPr>
        <w:t>”; The Atlantic</w:t>
      </w:r>
    </w:p>
    <w:p w14:paraId="422F4EEF" w14:textId="67BEBC2D" w:rsidR="00611158" w:rsidRDefault="00611158">
      <w:pPr>
        <w:pStyle w:val="FootnoteText"/>
      </w:pPr>
      <w:hyperlink r:id="rId3" w:history="1">
        <w:r w:rsidRPr="002032F3">
          <w:rPr>
            <w:rStyle w:val="Hyperlink"/>
            <w:rFonts w:ascii="Times New Roman" w:hAnsi="Times New Roman" w:cs="Times New Roman"/>
            <w:bCs/>
            <w:color w:val="0D0D0D" w:themeColor="text1" w:themeTint="F2"/>
            <w:sz w:val="18"/>
            <w:szCs w:val="18"/>
          </w:rPr>
          <w:t>https://www.theatlantic.com/business/archive/2015/07/us-cities-immigrants-economy/398987/</w:t>
        </w:r>
      </w:hyperlink>
    </w:p>
  </w:footnote>
  <w:footnote w:id="4">
    <w:p w14:paraId="7568E79F" w14:textId="6BFF0D12" w:rsidR="00611158" w:rsidRPr="00AD130D" w:rsidRDefault="00611158">
      <w:pPr>
        <w:pStyle w:val="FootnoteText"/>
        <w:rPr>
          <w:rFonts w:ascii="Times New Roman" w:hAnsi="Times New Roman" w:cs="Times New Roman"/>
          <w:color w:val="0D0D0D" w:themeColor="text1" w:themeTint="F2"/>
          <w:sz w:val="18"/>
          <w:szCs w:val="18"/>
        </w:rPr>
      </w:pPr>
      <w:r>
        <w:rPr>
          <w:rStyle w:val="FootnoteReference"/>
        </w:rPr>
        <w:footnoteRef/>
      </w:r>
      <w:r>
        <w:t xml:space="preserve"> </w:t>
      </w:r>
      <w:r w:rsidR="00AD130D" w:rsidRPr="00AD130D">
        <w:rPr>
          <w:rFonts w:ascii="Times New Roman" w:hAnsi="Times New Roman" w:cs="Times New Roman"/>
          <w:color w:val="0D0D0D" w:themeColor="text1" w:themeTint="F2"/>
          <w:sz w:val="18"/>
          <w:szCs w:val="18"/>
        </w:rPr>
        <w:t xml:space="preserve">Dame Louise Casey, </w:t>
      </w:r>
      <w:r w:rsidRPr="00AD130D">
        <w:rPr>
          <w:rFonts w:ascii="Times New Roman" w:hAnsi="Times New Roman" w:cs="Times New Roman"/>
          <w:color w:val="0D0D0D" w:themeColor="text1" w:themeTint="F2"/>
          <w:sz w:val="18"/>
          <w:szCs w:val="18"/>
        </w:rPr>
        <w:t>Dec 2016</w:t>
      </w:r>
      <w:r w:rsidR="00AD130D" w:rsidRPr="00AD130D">
        <w:rPr>
          <w:rFonts w:ascii="Times New Roman" w:hAnsi="Times New Roman" w:cs="Times New Roman"/>
          <w:color w:val="0D0D0D" w:themeColor="text1" w:themeTint="F2"/>
          <w:sz w:val="18"/>
          <w:szCs w:val="18"/>
        </w:rPr>
        <w:t>.</w:t>
      </w:r>
      <w:r w:rsidRPr="00AD130D">
        <w:rPr>
          <w:rFonts w:ascii="Times New Roman" w:hAnsi="Times New Roman" w:cs="Times New Roman"/>
          <w:color w:val="0D0D0D" w:themeColor="text1" w:themeTint="F2"/>
          <w:sz w:val="18"/>
          <w:szCs w:val="18"/>
        </w:rPr>
        <w:t xml:space="preserve"> The Casey Review: A Review Into Opportunity and Integration </w:t>
      </w:r>
      <w:hyperlink r:id="rId4" w:history="1">
        <w:r w:rsidRPr="00AD130D">
          <w:rPr>
            <w:rStyle w:val="Hyperlink"/>
            <w:rFonts w:ascii="Times New Roman" w:hAnsi="Times New Roman" w:cs="Times New Roman"/>
            <w:color w:val="0D0D0D" w:themeColor="text1" w:themeTint="F2"/>
            <w:sz w:val="16"/>
            <w:szCs w:val="16"/>
          </w:rPr>
          <w:t>https://assets.publishing.service.gov.uk/government/uploads/system/uploads/attachment_data/file/575973/The_Casey_Review_Report.pdf</w:t>
        </w:r>
      </w:hyperlink>
    </w:p>
  </w:footnote>
  <w:footnote w:id="5">
    <w:p w14:paraId="26C0C7B9" w14:textId="0D2CD317" w:rsidR="00611158" w:rsidRPr="00EE1B05" w:rsidRDefault="00611158" w:rsidP="00EE1B05">
      <w:pPr>
        <w:pStyle w:val="NoSpacing"/>
        <w:rPr>
          <w:color w:val="0D0D0D" w:themeColor="text1" w:themeTint="F2"/>
          <w:sz w:val="18"/>
          <w:szCs w:val="18"/>
        </w:rPr>
      </w:pPr>
      <w:r>
        <w:rPr>
          <w:rStyle w:val="FootnoteReference"/>
        </w:rPr>
        <w:footnoteRef/>
      </w:r>
      <w:r>
        <w:t xml:space="preserve"> </w:t>
      </w:r>
      <w:r w:rsidRPr="00EE1B05">
        <w:rPr>
          <w:color w:val="0D0D0D" w:themeColor="text1" w:themeTint="F2"/>
          <w:sz w:val="18"/>
          <w:szCs w:val="18"/>
        </w:rPr>
        <w:t xml:space="preserve">John Leo, writing for the Manhattan Institute’s City Journal. Writing about Bowling Alone, by Robert Putnam, Harvard professor of public policy and former Dean of Harvard’s Kennedy School of Government) </w:t>
      </w:r>
      <w:hyperlink r:id="rId5" w:history="1">
        <w:r w:rsidRPr="00EE1B05">
          <w:rPr>
            <w:rStyle w:val="Hyperlink"/>
            <w:color w:val="0D0D0D" w:themeColor="text1" w:themeTint="F2"/>
            <w:sz w:val="18"/>
            <w:szCs w:val="18"/>
          </w:rPr>
          <w:t>https://www.city-journal.org/html/bowling-our-own-10265.html</w:t>
        </w:r>
      </w:hyperlink>
    </w:p>
  </w:footnote>
  <w:footnote w:id="6">
    <w:p w14:paraId="20946B7C" w14:textId="600FE404" w:rsidR="00611158" w:rsidRPr="00B27E28" w:rsidRDefault="00611158" w:rsidP="00B27E28">
      <w:pPr>
        <w:pStyle w:val="NoSpacing"/>
        <w:rPr>
          <w:color w:val="0D0D0D" w:themeColor="text1" w:themeTint="F2"/>
          <w:sz w:val="18"/>
          <w:szCs w:val="18"/>
        </w:rPr>
      </w:pPr>
      <w:r>
        <w:rPr>
          <w:rStyle w:val="FootnoteReference"/>
        </w:rPr>
        <w:footnoteRef/>
      </w:r>
      <w:r>
        <w:t xml:space="preserve"> </w:t>
      </w:r>
      <w:r w:rsidRPr="00B27E28">
        <w:rPr>
          <w:color w:val="0D0D0D" w:themeColor="text1" w:themeTint="F2"/>
          <w:sz w:val="18"/>
          <w:szCs w:val="18"/>
        </w:rPr>
        <w:t xml:space="preserve">Ph.D. Eddie Ng, July </w:t>
      </w:r>
      <w:proofErr w:type="gramStart"/>
      <w:r w:rsidRPr="00B27E28">
        <w:rPr>
          <w:color w:val="0D0D0D" w:themeColor="text1" w:themeTint="F2"/>
          <w:sz w:val="18"/>
          <w:szCs w:val="18"/>
        </w:rPr>
        <w:t>20</w:t>
      </w:r>
      <w:proofErr w:type="gramEnd"/>
      <w:r w:rsidRPr="00B27E28">
        <w:rPr>
          <w:color w:val="0D0D0D" w:themeColor="text1" w:themeTint="F2"/>
          <w:sz w:val="18"/>
          <w:szCs w:val="18"/>
        </w:rPr>
        <w:t xml:space="preserve"> 2015 “Multiculturalism Around the World”; Psychology Today</w:t>
      </w:r>
    </w:p>
    <w:p w14:paraId="0244A4E9" w14:textId="23563479" w:rsidR="00611158" w:rsidRPr="00B27E28" w:rsidRDefault="00611158" w:rsidP="00B27E28">
      <w:pPr>
        <w:pStyle w:val="NoSpacing"/>
        <w:rPr>
          <w:color w:val="0D0D0D" w:themeColor="text1" w:themeTint="F2"/>
          <w:sz w:val="18"/>
          <w:szCs w:val="18"/>
        </w:rPr>
      </w:pPr>
      <w:hyperlink r:id="rId6" w:history="1">
        <w:r w:rsidRPr="00B27E28">
          <w:rPr>
            <w:rStyle w:val="Hyperlink"/>
            <w:color w:val="0D0D0D" w:themeColor="text1" w:themeTint="F2"/>
            <w:sz w:val="18"/>
            <w:szCs w:val="18"/>
          </w:rPr>
          <w:t>https://www.psychologytoday.com/us/blog/diverse-and-competitive/201507/multiculturalism-around-the-world</w:t>
        </w:r>
      </w:hyperlink>
    </w:p>
  </w:footnote>
  <w:footnote w:id="7">
    <w:p w14:paraId="74BB8E88" w14:textId="268E351A" w:rsidR="00611158" w:rsidRPr="00EE1B05" w:rsidRDefault="00611158" w:rsidP="00EE1B05">
      <w:pPr>
        <w:pStyle w:val="NoSpacing"/>
        <w:rPr>
          <w:color w:val="0D0D0D" w:themeColor="text1" w:themeTint="F2"/>
          <w:sz w:val="18"/>
          <w:szCs w:val="18"/>
        </w:rPr>
      </w:pPr>
      <w:r w:rsidRPr="00EE1B05">
        <w:rPr>
          <w:rStyle w:val="FootnoteReference"/>
          <w:color w:val="0D0D0D" w:themeColor="text1" w:themeTint="F2"/>
          <w:sz w:val="18"/>
          <w:szCs w:val="18"/>
        </w:rPr>
        <w:footnoteRef/>
      </w:r>
      <w:r w:rsidRPr="00EE1B05">
        <w:rPr>
          <w:color w:val="0D0D0D" w:themeColor="text1" w:themeTint="F2"/>
          <w:sz w:val="18"/>
          <w:szCs w:val="18"/>
        </w:rPr>
        <w:t xml:space="preserve"> Michael Adams (President of the Environics Institute, a polling and research firm) and </w:t>
      </w:r>
      <w:proofErr w:type="spellStart"/>
      <w:r w:rsidRPr="00EE1B05">
        <w:rPr>
          <w:color w:val="0D0D0D" w:themeColor="text1" w:themeTint="F2"/>
          <w:sz w:val="18"/>
          <w:szCs w:val="18"/>
        </w:rPr>
        <w:t>Ratna</w:t>
      </w:r>
      <w:proofErr w:type="spellEnd"/>
      <w:r w:rsidRPr="00EE1B05">
        <w:rPr>
          <w:color w:val="0D0D0D" w:themeColor="text1" w:themeTint="F2"/>
          <w:sz w:val="18"/>
          <w:szCs w:val="18"/>
        </w:rPr>
        <w:t xml:space="preserve"> </w:t>
      </w:r>
      <w:proofErr w:type="spellStart"/>
      <w:r w:rsidRPr="00EE1B05">
        <w:rPr>
          <w:color w:val="0D0D0D" w:themeColor="text1" w:themeTint="F2"/>
          <w:sz w:val="18"/>
          <w:szCs w:val="18"/>
        </w:rPr>
        <w:t>Omidvar</w:t>
      </w:r>
      <w:proofErr w:type="spellEnd"/>
      <w:r w:rsidRPr="00EE1B05">
        <w:rPr>
          <w:color w:val="0D0D0D" w:themeColor="text1" w:themeTint="F2"/>
          <w:sz w:val="18"/>
          <w:szCs w:val="18"/>
        </w:rPr>
        <w:t xml:space="preserve"> (Senator from Ontario and visiting professor at Ryerson University). Sept 15, 2018. “Multiculturalism doesn’t divide. It encourages belonging”; The Globe and Mail</w:t>
      </w:r>
    </w:p>
    <w:p w14:paraId="0BDFDCDF" w14:textId="5A57E360" w:rsidR="00611158" w:rsidRDefault="00611158" w:rsidP="00EE1B05">
      <w:pPr>
        <w:pStyle w:val="NoSpacing"/>
      </w:pPr>
      <w:hyperlink r:id="rId7" w:history="1">
        <w:r w:rsidRPr="00EE1B05">
          <w:rPr>
            <w:rStyle w:val="Hyperlink"/>
            <w:color w:val="0D0D0D" w:themeColor="text1" w:themeTint="F2"/>
            <w:sz w:val="18"/>
            <w:szCs w:val="18"/>
          </w:rPr>
          <w:t>https://www.theglobeandmail.com/opinion/article-multiculturalism-doesnt-divide-it-encourages-belonging/</w:t>
        </w:r>
      </w:hyperlink>
    </w:p>
  </w:footnote>
  <w:footnote w:id="8">
    <w:p w14:paraId="18BA4660" w14:textId="0B525244" w:rsidR="00611158" w:rsidRPr="00CB5A28" w:rsidRDefault="00611158" w:rsidP="00CB5A28">
      <w:pPr>
        <w:pStyle w:val="NoSpacing"/>
        <w:rPr>
          <w:color w:val="0D0D0D" w:themeColor="text1" w:themeTint="F2"/>
          <w:sz w:val="18"/>
          <w:szCs w:val="18"/>
        </w:rPr>
      </w:pPr>
      <w:r w:rsidRPr="006E0F46">
        <w:rPr>
          <w:rStyle w:val="FootnoteReference"/>
          <w:sz w:val="18"/>
          <w:szCs w:val="18"/>
        </w:rPr>
        <w:footnoteRef/>
      </w:r>
      <w:r>
        <w:rPr>
          <w:sz w:val="18"/>
          <w:szCs w:val="18"/>
        </w:rPr>
        <w:t xml:space="preserve"> </w:t>
      </w:r>
      <w:proofErr w:type="spellStart"/>
      <w:r w:rsidRPr="00CB5A28">
        <w:rPr>
          <w:color w:val="0D0D0D" w:themeColor="text1" w:themeTint="F2"/>
          <w:sz w:val="18"/>
          <w:szCs w:val="18"/>
        </w:rPr>
        <w:t>P.hD</w:t>
      </w:r>
      <w:proofErr w:type="spellEnd"/>
      <w:r w:rsidRPr="00CB5A28">
        <w:rPr>
          <w:color w:val="0D0D0D" w:themeColor="text1" w:themeTint="F2"/>
          <w:sz w:val="18"/>
          <w:szCs w:val="18"/>
        </w:rPr>
        <w:t xml:space="preserve">. of Economics Vasiliki (Vicky) </w:t>
      </w:r>
      <w:proofErr w:type="spellStart"/>
      <w:r w:rsidRPr="00CB5A28">
        <w:rPr>
          <w:color w:val="0D0D0D" w:themeColor="text1" w:themeTint="F2"/>
          <w:sz w:val="18"/>
          <w:szCs w:val="18"/>
        </w:rPr>
        <w:t>Fouka</w:t>
      </w:r>
      <w:proofErr w:type="spellEnd"/>
      <w:r w:rsidRPr="00CB5A28">
        <w:rPr>
          <w:color w:val="0D0D0D" w:themeColor="text1" w:themeTint="F2"/>
          <w:sz w:val="18"/>
          <w:szCs w:val="18"/>
        </w:rPr>
        <w:t>, May 26</w:t>
      </w:r>
      <w:r w:rsidRPr="00CB5A28">
        <w:rPr>
          <w:color w:val="0D0D0D" w:themeColor="text1" w:themeTint="F2"/>
          <w:sz w:val="18"/>
          <w:szCs w:val="18"/>
          <w:vertAlign w:val="superscript"/>
        </w:rPr>
        <w:t>th</w:t>
      </w:r>
      <w:r w:rsidRPr="00CB5A28">
        <w:rPr>
          <w:color w:val="0D0D0D" w:themeColor="text1" w:themeTint="F2"/>
          <w:sz w:val="18"/>
          <w:szCs w:val="18"/>
        </w:rPr>
        <w:t>, 2019 “Backlash: The Unintended Effects of Language Prohibition in U.S. Schools after World War I” Published by Oxford University Press on behalf of The Review of Economic Studies.</w:t>
      </w:r>
    </w:p>
    <w:p w14:paraId="3D0059E3" w14:textId="0EC5B9E1" w:rsidR="00611158" w:rsidRPr="006E0F46" w:rsidRDefault="00611158" w:rsidP="00CB5A28">
      <w:pPr>
        <w:pStyle w:val="NoSpacing"/>
        <w:rPr>
          <w:sz w:val="18"/>
          <w:szCs w:val="18"/>
        </w:rPr>
      </w:pPr>
      <w:r w:rsidRPr="00CB5A28">
        <w:rPr>
          <w:color w:val="0D0D0D" w:themeColor="text1" w:themeTint="F2"/>
          <w:sz w:val="18"/>
          <w:szCs w:val="18"/>
        </w:rPr>
        <w:t xml:space="preserve"> </w:t>
      </w:r>
      <w:hyperlink r:id="rId8" w:history="1">
        <w:r w:rsidRPr="00CB5A28">
          <w:rPr>
            <w:rStyle w:val="Hyperlink"/>
            <w:color w:val="0D0D0D" w:themeColor="text1" w:themeTint="F2"/>
            <w:sz w:val="18"/>
            <w:szCs w:val="18"/>
          </w:rPr>
          <w:t>https://academic.oup.com/restud/advance-article-abstract/doi/10.1093/restud/rdz024/5472346?redirectedFrom=fulltext</w:t>
        </w:r>
      </w:hyperlink>
    </w:p>
  </w:footnote>
  <w:footnote w:id="9">
    <w:p w14:paraId="5DBC975D" w14:textId="77777777" w:rsidR="00611158" w:rsidRPr="00B27E28" w:rsidRDefault="00611158" w:rsidP="00B27E28">
      <w:pPr>
        <w:pStyle w:val="NoSpacing"/>
        <w:rPr>
          <w:color w:val="0D0D0D" w:themeColor="text1" w:themeTint="F2"/>
          <w:sz w:val="18"/>
          <w:szCs w:val="18"/>
        </w:rPr>
      </w:pPr>
      <w:r>
        <w:rPr>
          <w:rStyle w:val="FootnoteReference"/>
        </w:rPr>
        <w:footnoteRef/>
      </w:r>
      <w:r>
        <w:t xml:space="preserve"> </w:t>
      </w:r>
      <w:r w:rsidRPr="00B27E28">
        <w:rPr>
          <w:color w:val="0D0D0D" w:themeColor="text1" w:themeTint="F2"/>
          <w:sz w:val="18"/>
          <w:szCs w:val="18"/>
        </w:rPr>
        <w:t xml:space="preserve">Ph.D. Eddie Ng, July </w:t>
      </w:r>
      <w:proofErr w:type="gramStart"/>
      <w:r w:rsidRPr="00B27E28">
        <w:rPr>
          <w:color w:val="0D0D0D" w:themeColor="text1" w:themeTint="F2"/>
          <w:sz w:val="18"/>
          <w:szCs w:val="18"/>
        </w:rPr>
        <w:t>20</w:t>
      </w:r>
      <w:proofErr w:type="gramEnd"/>
      <w:r w:rsidRPr="00B27E28">
        <w:rPr>
          <w:color w:val="0D0D0D" w:themeColor="text1" w:themeTint="F2"/>
          <w:sz w:val="18"/>
          <w:szCs w:val="18"/>
        </w:rPr>
        <w:t xml:space="preserve"> 2015 “Multiculturalism Around the World”; Psychology Today</w:t>
      </w:r>
    </w:p>
    <w:p w14:paraId="440D01BD" w14:textId="2707C42C" w:rsidR="00611158" w:rsidRDefault="00611158" w:rsidP="00B27E28">
      <w:pPr>
        <w:pStyle w:val="FootnoteText"/>
      </w:pPr>
      <w:hyperlink r:id="rId9" w:history="1">
        <w:r w:rsidRPr="00B27E28">
          <w:rPr>
            <w:rStyle w:val="Hyperlink"/>
            <w:color w:val="0D0D0D" w:themeColor="text1" w:themeTint="F2"/>
            <w:sz w:val="18"/>
            <w:szCs w:val="18"/>
          </w:rPr>
          <w:t>https://www.psychologytoday.com/us/blog/diverse-and-competitive/201507/multiculturalism-around-the-world</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0C08928E" w:rsidR="00611158" w:rsidRPr="00F93E85" w:rsidRDefault="00611158" w:rsidP="00D97850">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CB0B95">
      <w:rPr>
        <w:i/>
        <w:iCs/>
        <w:sz w:val="20"/>
        <w:szCs w:val="20"/>
      </w:rPr>
      <w:t>Resolved: Culture ought to value assimilation over multiculturalism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28A2F40"/>
    <w:multiLevelType w:val="hybridMultilevel"/>
    <w:tmpl w:val="89D89F5C"/>
    <w:lvl w:ilvl="0" w:tplc="B6345886">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6D0DA9"/>
    <w:multiLevelType w:val="multilevel"/>
    <w:tmpl w:val="99EA2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1BF3A9D"/>
    <w:multiLevelType w:val="hybridMultilevel"/>
    <w:tmpl w:val="51800B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E421E2"/>
    <w:multiLevelType w:val="hybridMultilevel"/>
    <w:tmpl w:val="5AA4D5CA"/>
    <w:lvl w:ilvl="0" w:tplc="B5D66E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5"/>
  </w:num>
  <w:num w:numId="15">
    <w:abstractNumId w:val="14"/>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24600"/>
    <w:rsid w:val="00036A22"/>
    <w:rsid w:val="00036F71"/>
    <w:rsid w:val="0007616B"/>
    <w:rsid w:val="000840A3"/>
    <w:rsid w:val="00087308"/>
    <w:rsid w:val="000A7CFB"/>
    <w:rsid w:val="000A7EC2"/>
    <w:rsid w:val="000B4939"/>
    <w:rsid w:val="000C4B55"/>
    <w:rsid w:val="000D0262"/>
    <w:rsid w:val="000D43E0"/>
    <w:rsid w:val="000E2EFA"/>
    <w:rsid w:val="000E74AD"/>
    <w:rsid w:val="000F5574"/>
    <w:rsid w:val="00110239"/>
    <w:rsid w:val="001115A6"/>
    <w:rsid w:val="001160B3"/>
    <w:rsid w:val="00132A59"/>
    <w:rsid w:val="001403B6"/>
    <w:rsid w:val="00143020"/>
    <w:rsid w:val="00155780"/>
    <w:rsid w:val="00155F63"/>
    <w:rsid w:val="00167A41"/>
    <w:rsid w:val="0017121B"/>
    <w:rsid w:val="00176AD8"/>
    <w:rsid w:val="00177F0D"/>
    <w:rsid w:val="001B1B0F"/>
    <w:rsid w:val="001B58E9"/>
    <w:rsid w:val="001B7B32"/>
    <w:rsid w:val="001D09B0"/>
    <w:rsid w:val="001E2C45"/>
    <w:rsid w:val="001E4D53"/>
    <w:rsid w:val="001F2B53"/>
    <w:rsid w:val="001F5C2D"/>
    <w:rsid w:val="001F759F"/>
    <w:rsid w:val="00201483"/>
    <w:rsid w:val="00202A02"/>
    <w:rsid w:val="002032F3"/>
    <w:rsid w:val="002125E6"/>
    <w:rsid w:val="0021663C"/>
    <w:rsid w:val="002207D8"/>
    <w:rsid w:val="00230E29"/>
    <w:rsid w:val="0023406C"/>
    <w:rsid w:val="0024499A"/>
    <w:rsid w:val="00246233"/>
    <w:rsid w:val="00251325"/>
    <w:rsid w:val="0026429C"/>
    <w:rsid w:val="00273C9C"/>
    <w:rsid w:val="002744EF"/>
    <w:rsid w:val="002746D7"/>
    <w:rsid w:val="00285253"/>
    <w:rsid w:val="00287986"/>
    <w:rsid w:val="00290C92"/>
    <w:rsid w:val="00296065"/>
    <w:rsid w:val="002A2FC9"/>
    <w:rsid w:val="002A3998"/>
    <w:rsid w:val="002B415B"/>
    <w:rsid w:val="002D07C1"/>
    <w:rsid w:val="002D2096"/>
    <w:rsid w:val="002D230B"/>
    <w:rsid w:val="002D2C21"/>
    <w:rsid w:val="002E0D16"/>
    <w:rsid w:val="002E47B1"/>
    <w:rsid w:val="002F1E1E"/>
    <w:rsid w:val="002F418D"/>
    <w:rsid w:val="003021BD"/>
    <w:rsid w:val="0030317D"/>
    <w:rsid w:val="00313DFA"/>
    <w:rsid w:val="003154F1"/>
    <w:rsid w:val="00320337"/>
    <w:rsid w:val="00322C2B"/>
    <w:rsid w:val="003245CF"/>
    <w:rsid w:val="00340F46"/>
    <w:rsid w:val="00344C55"/>
    <w:rsid w:val="00370B2F"/>
    <w:rsid w:val="00373617"/>
    <w:rsid w:val="00374DD8"/>
    <w:rsid w:val="00381981"/>
    <w:rsid w:val="003875C7"/>
    <w:rsid w:val="00391968"/>
    <w:rsid w:val="00394059"/>
    <w:rsid w:val="003A6B3E"/>
    <w:rsid w:val="003B1845"/>
    <w:rsid w:val="003D4A5D"/>
    <w:rsid w:val="003D6D26"/>
    <w:rsid w:val="003F1C0B"/>
    <w:rsid w:val="003F6257"/>
    <w:rsid w:val="003F62D7"/>
    <w:rsid w:val="003F6B58"/>
    <w:rsid w:val="00402FAF"/>
    <w:rsid w:val="00403F0D"/>
    <w:rsid w:val="004064E9"/>
    <w:rsid w:val="00412D17"/>
    <w:rsid w:val="0041481E"/>
    <w:rsid w:val="004202C1"/>
    <w:rsid w:val="00422029"/>
    <w:rsid w:val="0043245E"/>
    <w:rsid w:val="00441E2B"/>
    <w:rsid w:val="00444A7E"/>
    <w:rsid w:val="00454F14"/>
    <w:rsid w:val="00462178"/>
    <w:rsid w:val="00462B90"/>
    <w:rsid w:val="00463EE7"/>
    <w:rsid w:val="00465C5B"/>
    <w:rsid w:val="00494780"/>
    <w:rsid w:val="00497771"/>
    <w:rsid w:val="004A442E"/>
    <w:rsid w:val="004A484F"/>
    <w:rsid w:val="004C3C2A"/>
    <w:rsid w:val="004D46C6"/>
    <w:rsid w:val="004E4B6C"/>
    <w:rsid w:val="004F049C"/>
    <w:rsid w:val="004F4E71"/>
    <w:rsid w:val="00504D35"/>
    <w:rsid w:val="00506A1B"/>
    <w:rsid w:val="00514B92"/>
    <w:rsid w:val="00524501"/>
    <w:rsid w:val="00524635"/>
    <w:rsid w:val="00525EB4"/>
    <w:rsid w:val="00527053"/>
    <w:rsid w:val="005332D4"/>
    <w:rsid w:val="005337EF"/>
    <w:rsid w:val="005375A1"/>
    <w:rsid w:val="00561507"/>
    <w:rsid w:val="0056534C"/>
    <w:rsid w:val="005670A8"/>
    <w:rsid w:val="0057200A"/>
    <w:rsid w:val="00576029"/>
    <w:rsid w:val="00577C85"/>
    <w:rsid w:val="00583565"/>
    <w:rsid w:val="005854E1"/>
    <w:rsid w:val="00585ACD"/>
    <w:rsid w:val="005861AF"/>
    <w:rsid w:val="005862C0"/>
    <w:rsid w:val="00594644"/>
    <w:rsid w:val="005A05B9"/>
    <w:rsid w:val="005A1AC4"/>
    <w:rsid w:val="005C586E"/>
    <w:rsid w:val="005D0B4C"/>
    <w:rsid w:val="005E1006"/>
    <w:rsid w:val="005E3411"/>
    <w:rsid w:val="005F18BA"/>
    <w:rsid w:val="005F248C"/>
    <w:rsid w:val="00611158"/>
    <w:rsid w:val="00615C80"/>
    <w:rsid w:val="006166CD"/>
    <w:rsid w:val="00617759"/>
    <w:rsid w:val="00617D78"/>
    <w:rsid w:val="00650031"/>
    <w:rsid w:val="0065334A"/>
    <w:rsid w:val="00661A85"/>
    <w:rsid w:val="00677CB9"/>
    <w:rsid w:val="00677F03"/>
    <w:rsid w:val="00690FE3"/>
    <w:rsid w:val="00693994"/>
    <w:rsid w:val="006961E1"/>
    <w:rsid w:val="00696DA3"/>
    <w:rsid w:val="006A5D68"/>
    <w:rsid w:val="006B4214"/>
    <w:rsid w:val="006B7DE5"/>
    <w:rsid w:val="006C2110"/>
    <w:rsid w:val="006C6F7E"/>
    <w:rsid w:val="006D163C"/>
    <w:rsid w:val="006D65C2"/>
    <w:rsid w:val="006E0F46"/>
    <w:rsid w:val="006E1803"/>
    <w:rsid w:val="006E18C5"/>
    <w:rsid w:val="007031E0"/>
    <w:rsid w:val="00710537"/>
    <w:rsid w:val="00716957"/>
    <w:rsid w:val="00723895"/>
    <w:rsid w:val="00727B89"/>
    <w:rsid w:val="0075083A"/>
    <w:rsid w:val="007648E4"/>
    <w:rsid w:val="00767B97"/>
    <w:rsid w:val="00781C03"/>
    <w:rsid w:val="00790AB3"/>
    <w:rsid w:val="00792571"/>
    <w:rsid w:val="00797218"/>
    <w:rsid w:val="007A2B5C"/>
    <w:rsid w:val="007B40C0"/>
    <w:rsid w:val="007B44F8"/>
    <w:rsid w:val="007C5ED6"/>
    <w:rsid w:val="007D11F4"/>
    <w:rsid w:val="007D4E68"/>
    <w:rsid w:val="007D727A"/>
    <w:rsid w:val="007F301B"/>
    <w:rsid w:val="0080286F"/>
    <w:rsid w:val="00806D4B"/>
    <w:rsid w:val="00817594"/>
    <w:rsid w:val="00820FEB"/>
    <w:rsid w:val="00826C88"/>
    <w:rsid w:val="00836F56"/>
    <w:rsid w:val="00837B5E"/>
    <w:rsid w:val="0084217A"/>
    <w:rsid w:val="0084445E"/>
    <w:rsid w:val="008554E8"/>
    <w:rsid w:val="00861DBB"/>
    <w:rsid w:val="00866B14"/>
    <w:rsid w:val="00874638"/>
    <w:rsid w:val="0087535C"/>
    <w:rsid w:val="00887E17"/>
    <w:rsid w:val="0089461A"/>
    <w:rsid w:val="008A0054"/>
    <w:rsid w:val="008A02F5"/>
    <w:rsid w:val="008B581F"/>
    <w:rsid w:val="008D2DED"/>
    <w:rsid w:val="008E549E"/>
    <w:rsid w:val="008F5019"/>
    <w:rsid w:val="008F7F74"/>
    <w:rsid w:val="009018D3"/>
    <w:rsid w:val="00902637"/>
    <w:rsid w:val="00903C3B"/>
    <w:rsid w:val="00907B16"/>
    <w:rsid w:val="00921B79"/>
    <w:rsid w:val="00923C47"/>
    <w:rsid w:val="0093085E"/>
    <w:rsid w:val="0093278E"/>
    <w:rsid w:val="00937558"/>
    <w:rsid w:val="009465F4"/>
    <w:rsid w:val="00950B3C"/>
    <w:rsid w:val="009643FA"/>
    <w:rsid w:val="00970388"/>
    <w:rsid w:val="0097204F"/>
    <w:rsid w:val="00974F1E"/>
    <w:rsid w:val="00981930"/>
    <w:rsid w:val="0098534E"/>
    <w:rsid w:val="009A66FF"/>
    <w:rsid w:val="009A6F02"/>
    <w:rsid w:val="009A7207"/>
    <w:rsid w:val="009A759E"/>
    <w:rsid w:val="009C0BAC"/>
    <w:rsid w:val="009D172C"/>
    <w:rsid w:val="009D59E3"/>
    <w:rsid w:val="009D696E"/>
    <w:rsid w:val="009F0369"/>
    <w:rsid w:val="009F27CB"/>
    <w:rsid w:val="009F5CE7"/>
    <w:rsid w:val="00A044EE"/>
    <w:rsid w:val="00A1191D"/>
    <w:rsid w:val="00A34363"/>
    <w:rsid w:val="00A44B3D"/>
    <w:rsid w:val="00A52D37"/>
    <w:rsid w:val="00A53CA2"/>
    <w:rsid w:val="00A57D15"/>
    <w:rsid w:val="00A60E2C"/>
    <w:rsid w:val="00A64129"/>
    <w:rsid w:val="00A84C0B"/>
    <w:rsid w:val="00A87A8E"/>
    <w:rsid w:val="00A9400D"/>
    <w:rsid w:val="00AC2A69"/>
    <w:rsid w:val="00AD130D"/>
    <w:rsid w:val="00AD45F2"/>
    <w:rsid w:val="00AD53C8"/>
    <w:rsid w:val="00B036C9"/>
    <w:rsid w:val="00B0523C"/>
    <w:rsid w:val="00B06952"/>
    <w:rsid w:val="00B0710C"/>
    <w:rsid w:val="00B1041A"/>
    <w:rsid w:val="00B17F5D"/>
    <w:rsid w:val="00B246C9"/>
    <w:rsid w:val="00B26177"/>
    <w:rsid w:val="00B27E28"/>
    <w:rsid w:val="00B42AA7"/>
    <w:rsid w:val="00B66968"/>
    <w:rsid w:val="00B716B5"/>
    <w:rsid w:val="00B716E8"/>
    <w:rsid w:val="00B80195"/>
    <w:rsid w:val="00B86FFF"/>
    <w:rsid w:val="00B90003"/>
    <w:rsid w:val="00B93680"/>
    <w:rsid w:val="00B94EAF"/>
    <w:rsid w:val="00BA11A6"/>
    <w:rsid w:val="00BA4CE8"/>
    <w:rsid w:val="00BB076D"/>
    <w:rsid w:val="00BB450C"/>
    <w:rsid w:val="00BC0C86"/>
    <w:rsid w:val="00BC1CE6"/>
    <w:rsid w:val="00BC5942"/>
    <w:rsid w:val="00BD0456"/>
    <w:rsid w:val="00BD3A7D"/>
    <w:rsid w:val="00BF2262"/>
    <w:rsid w:val="00C2131C"/>
    <w:rsid w:val="00C30327"/>
    <w:rsid w:val="00C31220"/>
    <w:rsid w:val="00C34B5F"/>
    <w:rsid w:val="00C352C4"/>
    <w:rsid w:val="00C408F0"/>
    <w:rsid w:val="00C54BE8"/>
    <w:rsid w:val="00C63A37"/>
    <w:rsid w:val="00C64E20"/>
    <w:rsid w:val="00C77B18"/>
    <w:rsid w:val="00C826AF"/>
    <w:rsid w:val="00C828F1"/>
    <w:rsid w:val="00C82E52"/>
    <w:rsid w:val="00C910B5"/>
    <w:rsid w:val="00CA0BE8"/>
    <w:rsid w:val="00CA4D3B"/>
    <w:rsid w:val="00CB0B95"/>
    <w:rsid w:val="00CB5A28"/>
    <w:rsid w:val="00CB72D7"/>
    <w:rsid w:val="00CC3C3F"/>
    <w:rsid w:val="00CC50F0"/>
    <w:rsid w:val="00CD5D09"/>
    <w:rsid w:val="00CE4A3C"/>
    <w:rsid w:val="00CF2BE1"/>
    <w:rsid w:val="00D053B9"/>
    <w:rsid w:val="00D22B65"/>
    <w:rsid w:val="00D278AE"/>
    <w:rsid w:val="00D27C0A"/>
    <w:rsid w:val="00D3179D"/>
    <w:rsid w:val="00D3617C"/>
    <w:rsid w:val="00D75A27"/>
    <w:rsid w:val="00D76466"/>
    <w:rsid w:val="00D80AEB"/>
    <w:rsid w:val="00D834D3"/>
    <w:rsid w:val="00D835F3"/>
    <w:rsid w:val="00D84EEC"/>
    <w:rsid w:val="00D957E0"/>
    <w:rsid w:val="00D97850"/>
    <w:rsid w:val="00DA4877"/>
    <w:rsid w:val="00DA6B64"/>
    <w:rsid w:val="00DB367B"/>
    <w:rsid w:val="00DB687A"/>
    <w:rsid w:val="00DB7B76"/>
    <w:rsid w:val="00DC12FF"/>
    <w:rsid w:val="00DC2D52"/>
    <w:rsid w:val="00DC3062"/>
    <w:rsid w:val="00DE62FE"/>
    <w:rsid w:val="00DE639A"/>
    <w:rsid w:val="00DF39EE"/>
    <w:rsid w:val="00DF6781"/>
    <w:rsid w:val="00E023DF"/>
    <w:rsid w:val="00E12F8B"/>
    <w:rsid w:val="00E159E5"/>
    <w:rsid w:val="00E1723D"/>
    <w:rsid w:val="00E27DAA"/>
    <w:rsid w:val="00E30291"/>
    <w:rsid w:val="00E33A65"/>
    <w:rsid w:val="00E36DC6"/>
    <w:rsid w:val="00E421A5"/>
    <w:rsid w:val="00E43ADE"/>
    <w:rsid w:val="00E4528C"/>
    <w:rsid w:val="00E52C55"/>
    <w:rsid w:val="00E53265"/>
    <w:rsid w:val="00E5523B"/>
    <w:rsid w:val="00E627EE"/>
    <w:rsid w:val="00E7323C"/>
    <w:rsid w:val="00E75ABF"/>
    <w:rsid w:val="00E87ADC"/>
    <w:rsid w:val="00E91BAF"/>
    <w:rsid w:val="00EA66D4"/>
    <w:rsid w:val="00EB0B44"/>
    <w:rsid w:val="00EC6452"/>
    <w:rsid w:val="00ED308B"/>
    <w:rsid w:val="00ED7CC9"/>
    <w:rsid w:val="00EE1B05"/>
    <w:rsid w:val="00EE58FB"/>
    <w:rsid w:val="00EF622D"/>
    <w:rsid w:val="00EF7C7B"/>
    <w:rsid w:val="00F021AF"/>
    <w:rsid w:val="00F1002C"/>
    <w:rsid w:val="00F120B7"/>
    <w:rsid w:val="00F1550A"/>
    <w:rsid w:val="00F232A0"/>
    <w:rsid w:val="00F2455F"/>
    <w:rsid w:val="00F2783E"/>
    <w:rsid w:val="00F30C8D"/>
    <w:rsid w:val="00F35532"/>
    <w:rsid w:val="00F4182C"/>
    <w:rsid w:val="00F45A3B"/>
    <w:rsid w:val="00F47A35"/>
    <w:rsid w:val="00F53458"/>
    <w:rsid w:val="00F56280"/>
    <w:rsid w:val="00F67237"/>
    <w:rsid w:val="00F705AB"/>
    <w:rsid w:val="00F71186"/>
    <w:rsid w:val="00F802AE"/>
    <w:rsid w:val="00F81B2D"/>
    <w:rsid w:val="00F834C2"/>
    <w:rsid w:val="00F85A7B"/>
    <w:rsid w:val="00F9238C"/>
    <w:rsid w:val="00F97F4D"/>
    <w:rsid w:val="00FA0211"/>
    <w:rsid w:val="00FA5F1C"/>
    <w:rsid w:val="00FC5CC8"/>
    <w:rsid w:val="00FE4B1E"/>
    <w:rsid w:val="00FE5815"/>
    <w:rsid w:val="00FF05D5"/>
    <w:rsid w:val="00FF1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character" w:styleId="Emphasis">
    <w:name w:val="Emphasis"/>
    <w:basedOn w:val="DefaultParagraphFont"/>
    <w:uiPriority w:val="20"/>
    <w:qFormat/>
    <w:rsid w:val="00CB0B95"/>
    <w:rPr>
      <w:i/>
      <w:iCs/>
    </w:rPr>
  </w:style>
  <w:style w:type="character" w:styleId="Strong">
    <w:name w:val="Strong"/>
    <w:basedOn w:val="DefaultParagraphFont"/>
    <w:uiPriority w:val="22"/>
    <w:qFormat/>
    <w:rsid w:val="00CB0B95"/>
    <w:rPr>
      <w:b/>
      <w:bCs/>
    </w:rPr>
  </w:style>
  <w:style w:type="character" w:customStyle="1" w:styleId="dttext">
    <w:name w:val="dttext"/>
    <w:basedOn w:val="DefaultParagraphFont"/>
    <w:rsid w:val="00CB0B95"/>
  </w:style>
  <w:style w:type="character" w:customStyle="1" w:styleId="sdsense">
    <w:name w:val="sdsense"/>
    <w:basedOn w:val="DefaultParagraphFont"/>
    <w:rsid w:val="00CB0B95"/>
  </w:style>
  <w:style w:type="character" w:customStyle="1" w:styleId="sd">
    <w:name w:val="sd"/>
    <w:basedOn w:val="DefaultParagraphFont"/>
    <w:rsid w:val="00CB0B95"/>
  </w:style>
  <w:style w:type="character" w:customStyle="1" w:styleId="ex-sent">
    <w:name w:val="ex-sent"/>
    <w:basedOn w:val="DefaultParagraphFont"/>
    <w:rsid w:val="00CB0B95"/>
  </w:style>
  <w:style w:type="character" w:customStyle="1" w:styleId="mwtwi">
    <w:name w:val="mw_t_wi"/>
    <w:basedOn w:val="DefaultParagraphFont"/>
    <w:rsid w:val="00CB0B95"/>
  </w:style>
  <w:style w:type="character" w:customStyle="1" w:styleId="letter">
    <w:name w:val="letter"/>
    <w:basedOn w:val="DefaultParagraphFont"/>
    <w:rsid w:val="00CB0B95"/>
  </w:style>
  <w:style w:type="character" w:customStyle="1" w:styleId="auth">
    <w:name w:val="auth"/>
    <w:basedOn w:val="DefaultParagraphFont"/>
    <w:rsid w:val="00CB0B95"/>
  </w:style>
  <w:style w:type="paragraph" w:styleId="NoSpacing">
    <w:name w:val="No Spacing"/>
    <w:uiPriority w:val="1"/>
    <w:qFormat/>
    <w:rsid w:val="00CF2BE1"/>
    <w:rPr>
      <w:rFonts w:ascii="Times New Roman" w:hAnsi="Times New Roman" w:cs="Times New Roman"/>
    </w:rPr>
  </w:style>
  <w:style w:type="character" w:customStyle="1" w:styleId="mwtparahw">
    <w:name w:val="mw_t_parahw"/>
    <w:basedOn w:val="DefaultParagraphFont"/>
    <w:rsid w:val="00887E17"/>
  </w:style>
  <w:style w:type="character" w:customStyle="1" w:styleId="UnresolvedMention1">
    <w:name w:val="Unresolved Mention1"/>
    <w:basedOn w:val="DefaultParagraphFont"/>
    <w:uiPriority w:val="99"/>
    <w:rsid w:val="0007616B"/>
    <w:rPr>
      <w:color w:val="605E5C"/>
      <w:shd w:val="clear" w:color="auto" w:fill="E1DFDD"/>
    </w:rPr>
  </w:style>
  <w:style w:type="character" w:styleId="UnresolvedMention">
    <w:name w:val="Unresolved Mention"/>
    <w:basedOn w:val="DefaultParagraphFont"/>
    <w:uiPriority w:val="99"/>
    <w:semiHidden/>
    <w:unhideWhenUsed/>
    <w:rsid w:val="001115A6"/>
    <w:rPr>
      <w:color w:val="605E5C"/>
      <w:shd w:val="clear" w:color="auto" w:fill="E1DFDD"/>
    </w:rPr>
  </w:style>
  <w:style w:type="paragraph" w:customStyle="1" w:styleId="c-article-bodytext">
    <w:name w:val="c-article-body__text"/>
    <w:basedOn w:val="Normal"/>
    <w:rsid w:val="00BD3A7D"/>
    <w:pPr>
      <w:spacing w:before="100" w:beforeAutospacing="1" w:after="100" w:afterAutospacing="1" w:line="240" w:lineRule="auto"/>
    </w:pPr>
    <w:rPr>
      <w:rFonts w:eastAsia="Times New Roman"/>
    </w:rPr>
  </w:style>
  <w:style w:type="character" w:customStyle="1" w:styleId="balancedheadline">
    <w:name w:val="balancedheadline"/>
    <w:basedOn w:val="DefaultParagraphFont"/>
    <w:rsid w:val="00F45A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78733">
      <w:bodyDiv w:val="1"/>
      <w:marLeft w:val="0"/>
      <w:marRight w:val="0"/>
      <w:marTop w:val="0"/>
      <w:marBottom w:val="0"/>
      <w:divBdr>
        <w:top w:val="none" w:sz="0" w:space="0" w:color="auto"/>
        <w:left w:val="none" w:sz="0" w:space="0" w:color="auto"/>
        <w:bottom w:val="none" w:sz="0" w:space="0" w:color="auto"/>
        <w:right w:val="none" w:sz="0" w:space="0" w:color="auto"/>
      </w:divBdr>
      <w:divsChild>
        <w:div w:id="1808476680">
          <w:marLeft w:val="0"/>
          <w:marRight w:val="0"/>
          <w:marTop w:val="288"/>
          <w:marBottom w:val="288"/>
          <w:divBdr>
            <w:top w:val="none" w:sz="0" w:space="0" w:color="auto"/>
            <w:left w:val="none" w:sz="0" w:space="0" w:color="auto"/>
            <w:bottom w:val="none" w:sz="0" w:space="0" w:color="auto"/>
            <w:right w:val="none" w:sz="0" w:space="0" w:color="auto"/>
          </w:divBdr>
          <w:divsChild>
            <w:div w:id="20568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09417">
      <w:bodyDiv w:val="1"/>
      <w:marLeft w:val="0"/>
      <w:marRight w:val="0"/>
      <w:marTop w:val="0"/>
      <w:marBottom w:val="0"/>
      <w:divBdr>
        <w:top w:val="none" w:sz="0" w:space="0" w:color="auto"/>
        <w:left w:val="none" w:sz="0" w:space="0" w:color="auto"/>
        <w:bottom w:val="none" w:sz="0" w:space="0" w:color="auto"/>
        <w:right w:val="none" w:sz="0" w:space="0" w:color="auto"/>
      </w:divBdr>
    </w:div>
    <w:div w:id="234820147">
      <w:bodyDiv w:val="1"/>
      <w:marLeft w:val="0"/>
      <w:marRight w:val="0"/>
      <w:marTop w:val="0"/>
      <w:marBottom w:val="0"/>
      <w:divBdr>
        <w:top w:val="none" w:sz="0" w:space="0" w:color="auto"/>
        <w:left w:val="none" w:sz="0" w:space="0" w:color="auto"/>
        <w:bottom w:val="none" w:sz="0" w:space="0" w:color="auto"/>
        <w:right w:val="none" w:sz="0" w:space="0" w:color="auto"/>
      </w:divBdr>
    </w:div>
    <w:div w:id="687677192">
      <w:bodyDiv w:val="1"/>
      <w:marLeft w:val="0"/>
      <w:marRight w:val="0"/>
      <w:marTop w:val="0"/>
      <w:marBottom w:val="0"/>
      <w:divBdr>
        <w:top w:val="none" w:sz="0" w:space="0" w:color="auto"/>
        <w:left w:val="none" w:sz="0" w:space="0" w:color="auto"/>
        <w:bottom w:val="none" w:sz="0" w:space="0" w:color="auto"/>
        <w:right w:val="none" w:sz="0" w:space="0" w:color="auto"/>
      </w:divBdr>
    </w:div>
    <w:div w:id="1058210797">
      <w:bodyDiv w:val="1"/>
      <w:marLeft w:val="0"/>
      <w:marRight w:val="0"/>
      <w:marTop w:val="0"/>
      <w:marBottom w:val="0"/>
      <w:divBdr>
        <w:top w:val="none" w:sz="0" w:space="0" w:color="auto"/>
        <w:left w:val="none" w:sz="0" w:space="0" w:color="auto"/>
        <w:bottom w:val="none" w:sz="0" w:space="0" w:color="auto"/>
        <w:right w:val="none" w:sz="0" w:space="0" w:color="auto"/>
      </w:divBdr>
    </w:div>
    <w:div w:id="1083643543">
      <w:bodyDiv w:val="1"/>
      <w:marLeft w:val="0"/>
      <w:marRight w:val="0"/>
      <w:marTop w:val="0"/>
      <w:marBottom w:val="0"/>
      <w:divBdr>
        <w:top w:val="none" w:sz="0" w:space="0" w:color="auto"/>
        <w:left w:val="none" w:sz="0" w:space="0" w:color="auto"/>
        <w:bottom w:val="none" w:sz="0" w:space="0" w:color="auto"/>
        <w:right w:val="none" w:sz="0" w:space="0" w:color="auto"/>
      </w:divBdr>
    </w:div>
    <w:div w:id="1208222220">
      <w:bodyDiv w:val="1"/>
      <w:marLeft w:val="0"/>
      <w:marRight w:val="0"/>
      <w:marTop w:val="0"/>
      <w:marBottom w:val="0"/>
      <w:divBdr>
        <w:top w:val="none" w:sz="0" w:space="0" w:color="auto"/>
        <w:left w:val="none" w:sz="0" w:space="0" w:color="auto"/>
        <w:bottom w:val="none" w:sz="0" w:space="0" w:color="auto"/>
        <w:right w:val="none" w:sz="0" w:space="0" w:color="auto"/>
      </w:divBdr>
    </w:div>
    <w:div w:id="1411923990">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657957">
      <w:bodyDiv w:val="1"/>
      <w:marLeft w:val="0"/>
      <w:marRight w:val="0"/>
      <w:marTop w:val="0"/>
      <w:marBottom w:val="0"/>
      <w:divBdr>
        <w:top w:val="none" w:sz="0" w:space="0" w:color="auto"/>
        <w:left w:val="none" w:sz="0" w:space="0" w:color="auto"/>
        <w:bottom w:val="none" w:sz="0" w:space="0" w:color="auto"/>
        <w:right w:val="none" w:sz="0" w:space="0" w:color="auto"/>
      </w:divBdr>
      <w:divsChild>
        <w:div w:id="290332146">
          <w:marLeft w:val="0"/>
          <w:marRight w:val="0"/>
          <w:marTop w:val="0"/>
          <w:marBottom w:val="0"/>
          <w:divBdr>
            <w:top w:val="none" w:sz="0" w:space="0" w:color="auto"/>
            <w:left w:val="none" w:sz="0" w:space="0" w:color="auto"/>
            <w:bottom w:val="none" w:sz="0" w:space="0" w:color="auto"/>
            <w:right w:val="none" w:sz="0" w:space="0" w:color="auto"/>
          </w:divBdr>
        </w:div>
        <w:div w:id="1704478964">
          <w:marLeft w:val="0"/>
          <w:marRight w:val="0"/>
          <w:marTop w:val="0"/>
          <w:marBottom w:val="0"/>
          <w:divBdr>
            <w:top w:val="none" w:sz="0" w:space="0" w:color="auto"/>
            <w:left w:val="none" w:sz="0" w:space="0" w:color="auto"/>
            <w:bottom w:val="none" w:sz="0" w:space="0" w:color="auto"/>
            <w:right w:val="none" w:sz="0" w:space="0" w:color="auto"/>
          </w:divBdr>
        </w:div>
      </w:divsChild>
    </w:div>
    <w:div w:id="1631284011">
      <w:bodyDiv w:val="1"/>
      <w:marLeft w:val="0"/>
      <w:marRight w:val="0"/>
      <w:marTop w:val="0"/>
      <w:marBottom w:val="0"/>
      <w:divBdr>
        <w:top w:val="none" w:sz="0" w:space="0" w:color="auto"/>
        <w:left w:val="none" w:sz="0" w:space="0" w:color="auto"/>
        <w:bottom w:val="none" w:sz="0" w:space="0" w:color="auto"/>
        <w:right w:val="none" w:sz="0" w:space="0" w:color="auto"/>
      </w:divBdr>
    </w:div>
    <w:div w:id="1784033960">
      <w:bodyDiv w:val="1"/>
      <w:marLeft w:val="0"/>
      <w:marRight w:val="0"/>
      <w:marTop w:val="0"/>
      <w:marBottom w:val="0"/>
      <w:divBdr>
        <w:top w:val="none" w:sz="0" w:space="0" w:color="auto"/>
        <w:left w:val="none" w:sz="0" w:space="0" w:color="auto"/>
        <w:bottom w:val="none" w:sz="0" w:space="0" w:color="auto"/>
        <w:right w:val="none" w:sz="0" w:space="0" w:color="auto"/>
      </w:divBdr>
    </w:div>
    <w:div w:id="1840071131">
      <w:bodyDiv w:val="1"/>
      <w:marLeft w:val="0"/>
      <w:marRight w:val="0"/>
      <w:marTop w:val="0"/>
      <w:marBottom w:val="0"/>
      <w:divBdr>
        <w:top w:val="none" w:sz="0" w:space="0" w:color="auto"/>
        <w:left w:val="none" w:sz="0" w:space="0" w:color="auto"/>
        <w:bottom w:val="none" w:sz="0" w:space="0" w:color="auto"/>
        <w:right w:val="none" w:sz="0" w:space="0" w:color="auto"/>
      </w:divBdr>
      <w:divsChild>
        <w:div w:id="2088724537">
          <w:marLeft w:val="0"/>
          <w:marRight w:val="0"/>
          <w:marTop w:val="0"/>
          <w:marBottom w:val="0"/>
          <w:divBdr>
            <w:top w:val="none" w:sz="0" w:space="0" w:color="auto"/>
            <w:left w:val="none" w:sz="0" w:space="0" w:color="auto"/>
            <w:bottom w:val="none" w:sz="0" w:space="0" w:color="auto"/>
            <w:right w:val="none" w:sz="0" w:space="0" w:color="auto"/>
          </w:divBdr>
        </w:div>
      </w:divsChild>
    </w:div>
    <w:div w:id="2066297751">
      <w:bodyDiv w:val="1"/>
      <w:marLeft w:val="0"/>
      <w:marRight w:val="0"/>
      <w:marTop w:val="0"/>
      <w:marBottom w:val="0"/>
      <w:divBdr>
        <w:top w:val="none" w:sz="0" w:space="0" w:color="auto"/>
        <w:left w:val="none" w:sz="0" w:space="0" w:color="auto"/>
        <w:bottom w:val="none" w:sz="0" w:space="0" w:color="auto"/>
        <w:right w:val="none" w:sz="0" w:space="0" w:color="auto"/>
      </w:divBdr>
    </w:div>
    <w:div w:id="20981634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academic.oup.com/restud/advance-article-abstract/doi/10.1093/restud/rdz024/5472346?redirectedFrom=fulltext" TargetMode="External"/><Relationship Id="rId3" Type="http://schemas.openxmlformats.org/officeDocument/2006/relationships/hyperlink" Target="https://www.theatlantic.com/business/archive/2015/07/us-cities-immigrants-economy/398987/" TargetMode="External"/><Relationship Id="rId7" Type="http://schemas.openxmlformats.org/officeDocument/2006/relationships/hyperlink" Target="https://www.theglobeandmail.com/opinion/article-multiculturalism-doesnt-divide-it-encourages-belonging/" TargetMode="External"/><Relationship Id="rId2" Type="http://schemas.openxmlformats.org/officeDocument/2006/relationships/hyperlink" Target="https://www.nytimes.com/2016/11/20/opinion/sunday/the-end-of-identity-liberalism.html" TargetMode="External"/><Relationship Id="rId1" Type="http://schemas.openxmlformats.org/officeDocument/2006/relationships/hyperlink" Target="https://siepr.stanford.edu/news/what-history-tells-us-about-assimilation-immigrants" TargetMode="External"/><Relationship Id="rId6" Type="http://schemas.openxmlformats.org/officeDocument/2006/relationships/hyperlink" Target="https://www.psychologytoday.com/us/blog/diverse-and-competitive/201507/multiculturalism-around-the-world" TargetMode="External"/><Relationship Id="rId5" Type="http://schemas.openxmlformats.org/officeDocument/2006/relationships/hyperlink" Target="https://www.city-journal.org/html/bowling-our-own-10265.html" TargetMode="External"/><Relationship Id="rId4" Type="http://schemas.openxmlformats.org/officeDocument/2006/relationships/hyperlink" Target="https://assets.publishing.service.gov.uk/government/uploads/system/uploads/attachment_data/file/575973/The_Casey_Review_Report.pdf" TargetMode="External"/><Relationship Id="rId9" Type="http://schemas.openxmlformats.org/officeDocument/2006/relationships/hyperlink" Target="https://www.psychologytoday.com/us/blog/diverse-and-competitive/201507/multiculturalism-around-the-worl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F34BD-9C58-4588-A857-AD50088E5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7</Pages>
  <Words>2462</Words>
  <Characters>14040</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mark csoros</cp:lastModifiedBy>
  <cp:revision>17</cp:revision>
  <dcterms:created xsi:type="dcterms:W3CDTF">2019-09-08T23:26:00Z</dcterms:created>
  <dcterms:modified xsi:type="dcterms:W3CDTF">2019-09-09T11:02:00Z</dcterms:modified>
</cp:coreProperties>
</file>