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1EE242F3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714716">
        <w:t>January</w:t>
      </w:r>
      <w:r w:rsidR="00A07FA3">
        <w:t xml:space="preserve"> </w:t>
      </w:r>
      <w:r w:rsidR="00421FB0">
        <w:t>18</w:t>
      </w:r>
      <w:r w:rsidR="00A07FA3">
        <w:t>, 202</w:t>
      </w:r>
      <w:r w:rsidR="00714716">
        <w:t>1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14138831" w:rsidR="00A07FA3" w:rsidRDefault="002E1BAC" w:rsidP="00AF7C15">
      <w:r>
        <w:t>Resolved</w:t>
      </w:r>
      <w:r w:rsidR="00B23627">
        <w:t xml:space="preserve">: </w:t>
      </w:r>
      <w:r w:rsidR="00421FB0">
        <w:t xml:space="preserve">The Media is more to blame for the 2020 election than voter fraud 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4E18AFC9" w:rsidR="00C545E8" w:rsidRDefault="00C545E8" w:rsidP="00C545E8">
      <w:r>
        <w:t>Resolved:</w:t>
      </w:r>
      <w:r w:rsidR="00FB5775">
        <w:t xml:space="preserve"> </w:t>
      </w:r>
      <w:r w:rsidR="00421FB0">
        <w:t xml:space="preserve">The USFG will reform its immigration policies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179B5792" w:rsidR="00C545E8" w:rsidRDefault="00C545E8" w:rsidP="00C545E8">
      <w:r>
        <w:t xml:space="preserve">Resolved: </w:t>
      </w:r>
      <w:r w:rsidR="00792B22">
        <w:t xml:space="preserve">video games have pushed computer power further than science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77B1F7AA" w:rsidR="00C545E8" w:rsidRDefault="00C545E8" w:rsidP="00C545E8">
      <w:r>
        <w:t>Resolved:</w:t>
      </w:r>
      <w:r w:rsidR="00CD41A7">
        <w:t xml:space="preserve"> </w:t>
      </w:r>
      <w:r w:rsidR="006F19C0">
        <w:t xml:space="preserve">When it comes to immoral trade practices, consumer choice is more impactful than governmental regulations </w:t>
      </w:r>
    </w:p>
    <w:p w14:paraId="78C37A44" w14:textId="272487FD" w:rsidR="00A07FA3" w:rsidRDefault="00A07FA3" w:rsidP="00A07FA3">
      <w:pPr>
        <w:pStyle w:val="Heading1"/>
      </w:pPr>
      <w:r>
        <w:t>Round 5</w:t>
      </w:r>
      <w:r w:rsidR="00421FB0">
        <w:t xml:space="preserve"> </w:t>
      </w:r>
    </w:p>
    <w:p w14:paraId="5B05A04E" w14:textId="5EA62FFD" w:rsidR="00C545E8" w:rsidRDefault="00C545E8" w:rsidP="00C545E8">
      <w:r>
        <w:t xml:space="preserve">Resolved: </w:t>
      </w:r>
      <w:r w:rsidR="00421FB0">
        <w:t xml:space="preserve">The USFG should reduce federal grant money for college students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47FEB847" w:rsidR="002E1BAC" w:rsidRDefault="00C545E8" w:rsidP="00A07FA3">
      <w:r>
        <w:t>Resolved:</w:t>
      </w:r>
      <w:r w:rsidR="001678B8">
        <w:t xml:space="preserve"> </w:t>
      </w:r>
      <w:r w:rsidR="00421FB0">
        <w:t xml:space="preserve">Reading physical books has become underrated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7DC6309B" w:rsidR="00130259" w:rsidRDefault="00C545E8" w:rsidP="00130259">
      <w:r>
        <w:t xml:space="preserve">Resolved: </w:t>
      </w:r>
      <w:r w:rsidR="00792B22">
        <w:t>Big tech should have the right to silence people using their platforms</w:t>
      </w:r>
    </w:p>
    <w:p w14:paraId="1A6B56C9" w14:textId="4DBED993" w:rsidR="00F62791" w:rsidRDefault="00F62791" w:rsidP="00130259">
      <w:r>
        <w:t xml:space="preserve">Resolved: </w:t>
      </w:r>
      <w:r w:rsidR="00792B22">
        <w:t>Individual’s freedom of speech ought to be valued above business policies</w:t>
      </w:r>
    </w:p>
    <w:p w14:paraId="7D690DCE" w14:textId="7B1584A5" w:rsidR="00F62791" w:rsidRPr="00D3359B" w:rsidRDefault="00F62791" w:rsidP="00130259">
      <w:r>
        <w:t xml:space="preserve">Resolved: </w:t>
      </w:r>
      <w:proofErr w:type="spellStart"/>
      <w:r w:rsidR="00792B22">
        <w:t>Parler</w:t>
      </w:r>
      <w:proofErr w:type="spellEnd"/>
      <w:r w:rsidR="00792B22">
        <w:t xml:space="preserve"> ought to take Apple to court</w:t>
      </w:r>
    </w:p>
    <w:p w14:paraId="0518A747" w14:textId="4A3F89B3" w:rsidR="00A07FA3" w:rsidRPr="00D3359B" w:rsidRDefault="00A07FA3" w:rsidP="00E539F5">
      <w:pPr>
        <w:tabs>
          <w:tab w:val="left" w:pos="3915"/>
        </w:tabs>
      </w:pP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883CA" w14:textId="77777777" w:rsidR="00BF3600" w:rsidRDefault="00BF3600" w:rsidP="001D5FD6">
      <w:r>
        <w:separator/>
      </w:r>
    </w:p>
    <w:p w14:paraId="2794BE8A" w14:textId="77777777" w:rsidR="00BF3600" w:rsidRDefault="00BF3600"/>
    <w:p w14:paraId="105E8C07" w14:textId="77777777" w:rsidR="00BF3600" w:rsidRDefault="00BF3600"/>
  </w:endnote>
  <w:endnote w:type="continuationSeparator" w:id="0">
    <w:p w14:paraId="15831939" w14:textId="77777777" w:rsidR="00BF3600" w:rsidRDefault="00BF3600" w:rsidP="001D5FD6">
      <w:r>
        <w:continuationSeparator/>
      </w:r>
    </w:p>
    <w:p w14:paraId="616B6431" w14:textId="77777777" w:rsidR="00BF3600" w:rsidRDefault="00BF3600"/>
    <w:p w14:paraId="6FEF8663" w14:textId="77777777" w:rsidR="00BF3600" w:rsidRDefault="00BF3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BF3600">
      <w:fldChar w:fldCharType="begin"/>
    </w:r>
    <w:r w:rsidR="00BF3600">
      <w:instrText xml:space="preserve"> NUMPAGES </w:instrText>
    </w:r>
    <w:r w:rsidR="00BF3600">
      <w:fldChar w:fldCharType="separate"/>
    </w:r>
    <w:r>
      <w:rPr>
        <w:noProof/>
      </w:rPr>
      <w:t>5</w:t>
    </w:r>
    <w:r w:rsidR="00BF3600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142D0" w14:textId="77777777" w:rsidR="00BF3600" w:rsidRDefault="00BF3600" w:rsidP="001D5FD6">
      <w:r>
        <w:separator/>
      </w:r>
    </w:p>
    <w:p w14:paraId="64AD2683" w14:textId="77777777" w:rsidR="00BF3600" w:rsidRDefault="00BF3600"/>
    <w:p w14:paraId="61AB6094" w14:textId="77777777" w:rsidR="00BF3600" w:rsidRDefault="00BF3600"/>
  </w:footnote>
  <w:footnote w:type="continuationSeparator" w:id="0">
    <w:p w14:paraId="04973A76" w14:textId="77777777" w:rsidR="00BF3600" w:rsidRDefault="00BF3600" w:rsidP="001D5FD6">
      <w:r>
        <w:continuationSeparator/>
      </w:r>
    </w:p>
    <w:p w14:paraId="38AA6967" w14:textId="77777777" w:rsidR="00BF3600" w:rsidRDefault="00BF3600"/>
    <w:p w14:paraId="7C9A7885" w14:textId="77777777" w:rsidR="00BF3600" w:rsidRDefault="00BF3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1BA6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1FB0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19C0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92B22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BF3600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989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42</cp:revision>
  <cp:lastPrinted>2014-07-05T11:25:00Z</cp:lastPrinted>
  <dcterms:created xsi:type="dcterms:W3CDTF">2020-08-12T09:30:00Z</dcterms:created>
  <dcterms:modified xsi:type="dcterms:W3CDTF">2021-01-18T06:44:00Z</dcterms:modified>
</cp:coreProperties>
</file>